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t>遴 选 文 件</w:t>
      </w:r>
    </w:p>
    <w:p>
      <w:pPr>
        <w:adjustRightInd w:val="0"/>
        <w:snapToGrid w:val="0"/>
        <w:spacing w:line="360" w:lineRule="auto"/>
        <w:rPr>
          <w:rFonts w:hint="eastAsia" w:ascii="仿宋_GB2312" w:hAnsi="仿宋_GB2312" w:eastAsia="仿宋_GB2312" w:cs="仿宋_GB2312"/>
          <w:sz w:val="28"/>
          <w:szCs w:val="28"/>
        </w:rPr>
      </w:pPr>
    </w:p>
    <w:p>
      <w:pPr>
        <w:adjustRightInd w:val="0"/>
        <w:snapToGrid w:val="0"/>
        <w:spacing w:line="360" w:lineRule="auto"/>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各潜在供应商：</w:t>
      </w:r>
    </w:p>
    <w:p>
      <w:pPr>
        <w:adjustRightInd w:val="0"/>
        <w:snapToGrid w:val="0"/>
        <w:spacing w:line="6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我院拟参与“三峡库区奉节县长江瞿塘峡地质灾害专业监测”分包2和分包3项目投标，根据招标文件要求，须将项目部分委托给小微企业。我院结合招标项目工作内容及实际情况决定，中标后将项目涉及监测预警设备（含土建和安装）采购进行委托，现公开遴选合作对象，具体情况如下：</w:t>
      </w:r>
    </w:p>
    <w:p>
      <w:pPr>
        <w:adjustRightInd w:val="0"/>
        <w:snapToGrid w:val="0"/>
        <w:spacing w:before="156" w:beforeLines="50" w:line="360" w:lineRule="auto"/>
        <w:ind w:firstLine="562" w:firstLineChars="2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一、项目编号：DYLX202501</w:t>
      </w:r>
    </w:p>
    <w:p>
      <w:pPr>
        <w:adjustRightInd w:val="0"/>
        <w:snapToGrid w:val="0"/>
        <w:spacing w:before="156" w:beforeLines="50" w:line="360" w:lineRule="auto"/>
        <w:ind w:firstLine="562" w:firstLineChars="2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二、项目基本情况概述</w:t>
      </w:r>
    </w:p>
    <w:p>
      <w:pPr>
        <w:adjustRightInd w:val="0"/>
        <w:snapToGrid w:val="0"/>
        <w:spacing w:line="6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三峡库区奉节县长江瞿塘峡段地质灾害专业监测预警项目分包2和分包3位于重庆市奉节县，含大硝洞3号-4号、坳口、</w:t>
      </w:r>
      <w:bookmarkStart w:id="0" w:name="_Toc7188"/>
      <w:r>
        <w:rPr>
          <w:rFonts w:hint="eastAsia" w:ascii="仿宋_GB2312" w:hAnsi="仿宋_GB2312" w:eastAsia="仿宋_GB2312" w:cs="仿宋_GB2312"/>
          <w:sz w:val="28"/>
          <w:szCs w:val="28"/>
        </w:rPr>
        <w:t>风箱峡-干沟子</w:t>
      </w:r>
      <w:bookmarkEnd w:id="0"/>
      <w:r>
        <w:rPr>
          <w:rFonts w:hint="eastAsia" w:ascii="仿宋_GB2312" w:hAnsi="仿宋_GB2312" w:eastAsia="仿宋_GB2312" w:cs="仿宋_GB2312"/>
          <w:sz w:val="28"/>
          <w:szCs w:val="28"/>
        </w:rPr>
        <w:t>、</w:t>
      </w:r>
      <w:bookmarkStart w:id="1" w:name="_Toc17184"/>
      <w:r>
        <w:rPr>
          <w:rFonts w:hint="eastAsia" w:ascii="仿宋_GB2312" w:hAnsi="仿宋_GB2312" w:eastAsia="仿宋_GB2312" w:cs="仿宋_GB2312"/>
          <w:sz w:val="28"/>
          <w:szCs w:val="28"/>
        </w:rPr>
        <w:t>吊嘴-狮子包</w:t>
      </w:r>
      <w:bookmarkEnd w:id="1"/>
      <w:r>
        <w:rPr>
          <w:rFonts w:hint="eastAsia" w:ascii="仿宋_GB2312" w:hAnsi="仿宋_GB2312" w:eastAsia="仿宋_GB2312" w:cs="仿宋_GB2312"/>
          <w:sz w:val="28"/>
          <w:szCs w:val="28"/>
        </w:rPr>
        <w:t>4个危岩带的专业监测预警技术工作，对项目中的地质灾害点新增监测预警设备，监测地质灾害体的重要运行信息数据，实时监测信息将接入重庆市地质灾害防治综合信息系统，为防灾减灾提供技术支持。</w:t>
      </w:r>
    </w:p>
    <w:p>
      <w:pPr>
        <w:numPr>
          <w:ilvl w:val="0"/>
          <w:numId w:val="1"/>
        </w:numPr>
        <w:adjustRightInd w:val="0"/>
        <w:snapToGrid w:val="0"/>
        <w:spacing w:line="600" w:lineRule="exact"/>
        <w:ind w:firstLine="562" w:firstLineChars="2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采购内容</w:t>
      </w:r>
      <w:bookmarkStart w:id="2" w:name="_Toc26164"/>
      <w:bookmarkStart w:id="3" w:name="_Toc59468316"/>
      <w:bookmarkStart w:id="4" w:name="_Toc26047"/>
      <w:bookmarkStart w:id="5" w:name="_Toc44573778"/>
      <w:r>
        <w:rPr>
          <w:rFonts w:hint="eastAsia" w:ascii="仿宋_GB2312" w:hAnsi="仿宋_GB2312" w:eastAsia="仿宋_GB2312" w:cs="仿宋_GB2312"/>
          <w:b/>
          <w:bCs/>
          <w:sz w:val="28"/>
          <w:szCs w:val="28"/>
        </w:rPr>
        <w:t xml:space="preserve">  </w:t>
      </w:r>
    </w:p>
    <w:p>
      <w:pPr>
        <w:numPr>
          <w:ilvl w:val="0"/>
          <w:numId w:val="2"/>
        </w:numPr>
        <w:adjustRightInd w:val="0"/>
        <w:snapToGrid w:val="0"/>
        <w:spacing w:line="6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基本信息</w:t>
      </w:r>
      <w:bookmarkEnd w:id="2"/>
      <w:bookmarkEnd w:id="3"/>
      <w:bookmarkEnd w:id="4"/>
      <w:bookmarkEnd w:id="5"/>
    </w:p>
    <w:tbl>
      <w:tblPr>
        <w:tblStyle w:val="14"/>
        <w:tblW w:w="57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1414"/>
        <w:gridCol w:w="900"/>
        <w:gridCol w:w="868"/>
        <w:gridCol w:w="856"/>
        <w:gridCol w:w="1080"/>
        <w:gridCol w:w="1096"/>
        <w:gridCol w:w="959"/>
        <w:gridCol w:w="900"/>
        <w:gridCol w:w="1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0" w:hRule="atLeast"/>
          <w:jc w:val="center"/>
        </w:trPr>
        <w:tc>
          <w:tcPr>
            <w:tcW w:w="339"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序号</w:t>
            </w:r>
          </w:p>
        </w:tc>
        <w:tc>
          <w:tcPr>
            <w:tcW w:w="715"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项目名称</w:t>
            </w:r>
          </w:p>
        </w:tc>
        <w:tc>
          <w:tcPr>
            <w:tcW w:w="455"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设备 类型</w:t>
            </w:r>
          </w:p>
        </w:tc>
        <w:tc>
          <w:tcPr>
            <w:tcW w:w="439"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设备 数量  （套）</w:t>
            </w:r>
          </w:p>
        </w:tc>
        <w:tc>
          <w:tcPr>
            <w:tcW w:w="433"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服务期</w:t>
            </w:r>
          </w:p>
        </w:tc>
        <w:tc>
          <w:tcPr>
            <w:tcW w:w="546"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lang w:val="en-US" w:eastAsia="zh-CN"/>
              </w:rPr>
              <w:t xml:space="preserve">单套   </w:t>
            </w:r>
            <w:r>
              <w:rPr>
                <w:rFonts w:hint="eastAsia" w:ascii="方正仿宋_GBK" w:hAnsi="方正仿宋_GBK" w:eastAsia="方正仿宋_GBK" w:cs="方正仿宋_GBK"/>
                <w:bCs/>
                <w:color w:val="000000"/>
                <w:szCs w:val="21"/>
              </w:rPr>
              <w:t>最高限价（万元）</w:t>
            </w:r>
          </w:p>
        </w:tc>
        <w:tc>
          <w:tcPr>
            <w:tcW w:w="554"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default" w:ascii="方正仿宋_GBK" w:hAnsi="方正仿宋_GBK" w:eastAsia="方正仿宋_GBK" w:cs="方正仿宋_GBK"/>
                <w:bCs/>
                <w:color w:val="000000"/>
                <w:szCs w:val="21"/>
                <w:lang w:val="en-US" w:eastAsia="zh-CN"/>
              </w:rPr>
            </w:pPr>
            <w:r>
              <w:rPr>
                <w:rFonts w:hint="eastAsia" w:ascii="方正仿宋_GBK" w:hAnsi="方正仿宋_GBK" w:eastAsia="方正仿宋_GBK" w:cs="方正仿宋_GBK"/>
                <w:bCs/>
                <w:color w:val="000000"/>
                <w:szCs w:val="21"/>
                <w:lang w:val="en-US" w:eastAsia="zh-CN"/>
              </w:rPr>
              <w:t>单项   最高限价  （万元）</w:t>
            </w:r>
          </w:p>
        </w:tc>
        <w:tc>
          <w:tcPr>
            <w:tcW w:w="485" w:type="pct"/>
            <w:tcBorders>
              <w:top w:val="single" w:color="auto" w:sz="4" w:space="0"/>
              <w:left w:val="single" w:color="auto" w:sz="4" w:space="0"/>
              <w:bottom w:val="single" w:color="auto" w:sz="4" w:space="0"/>
              <w:right w:val="single" w:color="auto" w:sz="4" w:space="0"/>
            </w:tcBorders>
            <w:vAlign w:val="center"/>
          </w:tcPr>
          <w:p>
            <w:pPr>
              <w:pStyle w:val="7"/>
              <w:adjustRightInd w:val="0"/>
              <w:snapToGrid w:val="0"/>
              <w:spacing w:line="360" w:lineRule="auto"/>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响应  保证金 （万元）</w:t>
            </w:r>
          </w:p>
        </w:tc>
        <w:tc>
          <w:tcPr>
            <w:tcW w:w="455" w:type="pct"/>
            <w:tcBorders>
              <w:top w:val="single" w:color="auto" w:sz="4" w:space="0"/>
              <w:left w:val="single" w:color="auto" w:sz="4" w:space="0"/>
              <w:bottom w:val="single" w:color="auto" w:sz="4" w:space="0"/>
              <w:right w:val="single" w:color="auto" w:sz="4" w:space="0"/>
            </w:tcBorders>
            <w:vAlign w:val="center"/>
          </w:tcPr>
          <w:p>
            <w:pPr>
              <w:pStyle w:val="7"/>
              <w:adjustRightInd w:val="0"/>
              <w:snapToGrid w:val="0"/>
              <w:spacing w:line="360" w:lineRule="auto"/>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成交 供应商 数量</w:t>
            </w:r>
          </w:p>
        </w:tc>
        <w:tc>
          <w:tcPr>
            <w:tcW w:w="574"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color w:val="000000"/>
                <w:szCs w:val="21"/>
                <w:shd w:val="clear" w:color="auto" w:fill="FFFFFF"/>
              </w:rPr>
              <w:t>采购标的对应的中小企业划分标准所属行业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339"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1</w:t>
            </w:r>
          </w:p>
        </w:tc>
        <w:tc>
          <w:tcPr>
            <w:tcW w:w="715" w:type="pct"/>
            <w:vMerge w:val="restart"/>
            <w:tcBorders>
              <w:top w:val="single" w:color="auto" w:sz="4" w:space="0"/>
              <w:left w:val="single" w:color="auto" w:sz="4" w:space="0"/>
              <w:right w:val="single" w:color="auto" w:sz="4" w:space="0"/>
            </w:tcBorders>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三峡库区奉节县长江瞿塘峡段地质灾害专业监测预警项目（分包2）、（分包3）监测设备采购（含土建安装）</w:t>
            </w:r>
          </w:p>
          <w:p>
            <w:pPr>
              <w:spacing w:line="440" w:lineRule="exact"/>
              <w:jc w:val="center"/>
              <w:rPr>
                <w:rFonts w:hint="eastAsia" w:ascii="方正仿宋_GBK" w:hAnsi="方正仿宋_GBK" w:eastAsia="方正仿宋_GBK" w:cs="方正仿宋_GBK"/>
                <w:bCs/>
                <w:color w:val="000000"/>
                <w:szCs w:val="21"/>
              </w:rPr>
            </w:pPr>
          </w:p>
        </w:tc>
        <w:tc>
          <w:tcPr>
            <w:tcW w:w="455" w:type="pct"/>
            <w:tcBorders>
              <w:top w:val="single" w:color="auto" w:sz="4" w:space="0"/>
              <w:left w:val="single" w:color="auto" w:sz="4" w:space="0"/>
              <w:right w:val="single" w:color="auto" w:sz="4" w:space="0"/>
            </w:tcBorders>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地表裂缝监测设备</w:t>
            </w:r>
          </w:p>
        </w:tc>
        <w:tc>
          <w:tcPr>
            <w:tcW w:w="439" w:type="pct"/>
            <w:tcBorders>
              <w:top w:val="single" w:color="auto" w:sz="4" w:space="0"/>
              <w:left w:val="single" w:color="auto" w:sz="4" w:space="0"/>
              <w:right w:val="single" w:color="auto" w:sz="4" w:space="0"/>
            </w:tcBorders>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18</w:t>
            </w:r>
          </w:p>
        </w:tc>
        <w:tc>
          <w:tcPr>
            <w:tcW w:w="433" w:type="pct"/>
            <w:vMerge w:val="restart"/>
            <w:tcBorders>
              <w:top w:val="single" w:color="auto" w:sz="4" w:space="0"/>
              <w:left w:val="single" w:color="auto" w:sz="4" w:space="0"/>
              <w:right w:val="single" w:color="auto" w:sz="4" w:space="0"/>
            </w:tcBorders>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5年</w:t>
            </w:r>
          </w:p>
          <w:p>
            <w:pPr>
              <w:spacing w:line="440" w:lineRule="exact"/>
              <w:jc w:val="center"/>
              <w:rPr>
                <w:rFonts w:hint="eastAsia" w:ascii="方正仿宋_GBK" w:hAnsi="方正仿宋_GBK" w:eastAsia="方正仿宋_GBK" w:cs="方正仿宋_GBK"/>
                <w:bCs/>
                <w:color w:val="000000"/>
                <w:szCs w:val="21"/>
              </w:rPr>
            </w:pPr>
          </w:p>
        </w:tc>
        <w:tc>
          <w:tcPr>
            <w:tcW w:w="546" w:type="pct"/>
            <w:tcBorders>
              <w:top w:val="single" w:color="auto" w:sz="4" w:space="0"/>
              <w:left w:val="single" w:color="auto" w:sz="4" w:space="0"/>
              <w:right w:val="single" w:color="auto" w:sz="4" w:space="0"/>
            </w:tcBorders>
            <w:vAlign w:val="center"/>
          </w:tcPr>
          <w:p>
            <w:pPr>
              <w:spacing w:line="440" w:lineRule="exact"/>
              <w:jc w:val="center"/>
              <w:rPr>
                <w:rFonts w:hint="default" w:ascii="方正仿宋_GBK" w:hAnsi="方正仿宋_GBK" w:eastAsia="方正仿宋_GBK" w:cs="方正仿宋_GBK"/>
                <w:bCs/>
                <w:color w:val="000000"/>
                <w:szCs w:val="21"/>
                <w:lang w:val="en-US" w:eastAsia="zh-CN"/>
              </w:rPr>
            </w:pPr>
            <w:r>
              <w:rPr>
                <w:rFonts w:hint="eastAsia" w:ascii="方正仿宋_GBK" w:hAnsi="方正仿宋_GBK" w:eastAsia="方正仿宋_GBK" w:cs="方正仿宋_GBK"/>
                <w:bCs/>
                <w:color w:val="000000"/>
                <w:szCs w:val="21"/>
                <w:lang w:val="en-US" w:eastAsia="zh-CN"/>
              </w:rPr>
              <w:t>2.2</w:t>
            </w:r>
          </w:p>
        </w:tc>
        <w:tc>
          <w:tcPr>
            <w:tcW w:w="554" w:type="pct"/>
            <w:tcBorders>
              <w:top w:val="single" w:color="auto" w:sz="4" w:space="0"/>
              <w:left w:val="single" w:color="auto" w:sz="4" w:space="0"/>
              <w:right w:val="single" w:color="auto" w:sz="4" w:space="0"/>
            </w:tcBorders>
            <w:vAlign w:val="center"/>
          </w:tcPr>
          <w:p>
            <w:pPr>
              <w:spacing w:line="440" w:lineRule="exact"/>
              <w:jc w:val="center"/>
              <w:rPr>
                <w:rFonts w:hint="default" w:ascii="方正仿宋_GBK" w:hAnsi="方正仿宋_GBK" w:eastAsia="方正仿宋_GBK" w:cs="方正仿宋_GBK"/>
                <w:bCs/>
                <w:color w:val="000000"/>
                <w:szCs w:val="21"/>
                <w:lang w:val="en-US" w:eastAsia="zh-CN"/>
              </w:rPr>
            </w:pPr>
            <w:r>
              <w:rPr>
                <w:rFonts w:hint="eastAsia" w:ascii="方正仿宋_GBK" w:hAnsi="方正仿宋_GBK" w:eastAsia="方正仿宋_GBK" w:cs="方正仿宋_GBK"/>
                <w:bCs/>
                <w:color w:val="000000"/>
                <w:szCs w:val="21"/>
                <w:lang w:val="en-US" w:eastAsia="zh-CN"/>
              </w:rPr>
              <w:t>39.6</w:t>
            </w:r>
          </w:p>
        </w:tc>
        <w:tc>
          <w:tcPr>
            <w:tcW w:w="485" w:type="pct"/>
            <w:vMerge w:val="restart"/>
            <w:tcBorders>
              <w:top w:val="single" w:color="auto" w:sz="4" w:space="0"/>
              <w:left w:val="single" w:color="auto" w:sz="4" w:space="0"/>
              <w:right w:val="single" w:color="auto" w:sz="4" w:space="0"/>
            </w:tcBorders>
            <w:vAlign w:val="center"/>
          </w:tcPr>
          <w:p>
            <w:pPr>
              <w:pStyle w:val="7"/>
              <w:adjustRightInd w:val="0"/>
              <w:snapToGrid w:val="0"/>
              <w:spacing w:line="360" w:lineRule="auto"/>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0</w:t>
            </w:r>
          </w:p>
        </w:tc>
        <w:tc>
          <w:tcPr>
            <w:tcW w:w="455" w:type="pct"/>
            <w:vMerge w:val="restart"/>
            <w:tcBorders>
              <w:top w:val="single" w:color="auto" w:sz="4" w:space="0"/>
              <w:left w:val="single" w:color="auto" w:sz="4" w:space="0"/>
              <w:right w:val="single" w:color="auto" w:sz="4" w:space="0"/>
            </w:tcBorders>
            <w:vAlign w:val="center"/>
          </w:tcPr>
          <w:p>
            <w:pPr>
              <w:pStyle w:val="7"/>
              <w:adjustRightInd w:val="0"/>
              <w:snapToGrid w:val="0"/>
              <w:spacing w:line="360" w:lineRule="auto"/>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1</w:t>
            </w:r>
          </w:p>
        </w:tc>
        <w:tc>
          <w:tcPr>
            <w:tcW w:w="574" w:type="pct"/>
            <w:vMerge w:val="restart"/>
            <w:tcBorders>
              <w:top w:val="single" w:color="auto" w:sz="4" w:space="0"/>
              <w:left w:val="single" w:color="auto" w:sz="4" w:space="0"/>
              <w:right w:val="single" w:color="auto" w:sz="4" w:space="0"/>
            </w:tcBorders>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szCs w:val="21"/>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2" w:hRule="atLeast"/>
          <w:jc w:val="center"/>
        </w:trPr>
        <w:tc>
          <w:tcPr>
            <w:tcW w:w="339" w:type="pct"/>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2</w:t>
            </w:r>
          </w:p>
        </w:tc>
        <w:tc>
          <w:tcPr>
            <w:tcW w:w="715" w:type="pct"/>
            <w:vMerge w:val="continue"/>
            <w:tcBorders>
              <w:left w:val="single" w:color="auto" w:sz="4" w:space="0"/>
              <w:right w:val="single" w:color="auto" w:sz="4" w:space="0"/>
            </w:tcBorders>
            <w:vAlign w:val="center"/>
          </w:tcPr>
          <w:p>
            <w:pPr>
              <w:spacing w:line="440" w:lineRule="exact"/>
              <w:jc w:val="center"/>
              <w:rPr>
                <w:rFonts w:hint="eastAsia" w:ascii="方正仿宋_GBK" w:hAnsi="方正仿宋_GBK" w:eastAsia="方正仿宋_GBK" w:cs="方正仿宋_GBK"/>
                <w:bCs/>
                <w:color w:val="000000"/>
                <w:szCs w:val="21"/>
              </w:rPr>
            </w:pPr>
          </w:p>
        </w:tc>
        <w:tc>
          <w:tcPr>
            <w:tcW w:w="455" w:type="pct"/>
            <w:tcBorders>
              <w:left w:val="single" w:color="auto" w:sz="4" w:space="0"/>
              <w:right w:val="single" w:color="auto" w:sz="4" w:space="0"/>
            </w:tcBorders>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应力计监测设备</w:t>
            </w:r>
          </w:p>
        </w:tc>
        <w:tc>
          <w:tcPr>
            <w:tcW w:w="439" w:type="pct"/>
            <w:tcBorders>
              <w:left w:val="single" w:color="auto" w:sz="4" w:space="0"/>
              <w:right w:val="single" w:color="auto" w:sz="4" w:space="0"/>
            </w:tcBorders>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7</w:t>
            </w:r>
          </w:p>
        </w:tc>
        <w:tc>
          <w:tcPr>
            <w:tcW w:w="433" w:type="pct"/>
            <w:vMerge w:val="continue"/>
            <w:tcBorders>
              <w:left w:val="single" w:color="auto" w:sz="4" w:space="0"/>
              <w:right w:val="single" w:color="auto" w:sz="4" w:space="0"/>
            </w:tcBorders>
            <w:vAlign w:val="center"/>
          </w:tcPr>
          <w:p>
            <w:pPr>
              <w:spacing w:line="440" w:lineRule="exact"/>
              <w:jc w:val="center"/>
              <w:rPr>
                <w:rFonts w:hint="eastAsia" w:ascii="方正仿宋_GBK" w:hAnsi="方正仿宋_GBK" w:eastAsia="方正仿宋_GBK" w:cs="方正仿宋_GBK"/>
                <w:bCs/>
                <w:color w:val="000000"/>
                <w:szCs w:val="21"/>
              </w:rPr>
            </w:pPr>
          </w:p>
        </w:tc>
        <w:tc>
          <w:tcPr>
            <w:tcW w:w="546" w:type="pct"/>
            <w:vAlign w:val="center"/>
          </w:tcPr>
          <w:p>
            <w:pPr>
              <w:spacing w:line="440" w:lineRule="exact"/>
              <w:jc w:val="center"/>
              <w:rPr>
                <w:rFonts w:hint="default" w:ascii="方正仿宋_GBK" w:hAnsi="方正仿宋_GBK" w:eastAsia="方正仿宋_GBK" w:cs="方正仿宋_GBK"/>
                <w:bCs/>
                <w:color w:val="000000"/>
                <w:szCs w:val="21"/>
                <w:lang w:val="en-US" w:eastAsia="zh-CN"/>
              </w:rPr>
            </w:pPr>
            <w:r>
              <w:rPr>
                <w:rFonts w:hint="eastAsia" w:ascii="方正仿宋_GBK" w:hAnsi="方正仿宋_GBK" w:eastAsia="方正仿宋_GBK" w:cs="方正仿宋_GBK"/>
                <w:bCs/>
                <w:color w:val="000000"/>
                <w:szCs w:val="21"/>
                <w:lang w:val="en-US" w:eastAsia="zh-CN"/>
              </w:rPr>
              <w:t>2.6</w:t>
            </w:r>
            <w:bookmarkStart w:id="7" w:name="_GoBack"/>
            <w:bookmarkEnd w:id="7"/>
          </w:p>
        </w:tc>
        <w:tc>
          <w:tcPr>
            <w:tcW w:w="554" w:type="pct"/>
            <w:tcBorders>
              <w:left w:val="single" w:color="auto" w:sz="4" w:space="0"/>
              <w:right w:val="single" w:color="auto" w:sz="4" w:space="0"/>
            </w:tcBorders>
            <w:vAlign w:val="center"/>
          </w:tcPr>
          <w:p>
            <w:pPr>
              <w:spacing w:line="440" w:lineRule="exact"/>
              <w:jc w:val="center"/>
              <w:rPr>
                <w:rFonts w:hint="default" w:ascii="方正仿宋_GBK" w:hAnsi="方正仿宋_GBK" w:eastAsia="方正仿宋_GBK" w:cs="方正仿宋_GBK"/>
                <w:bCs/>
                <w:color w:val="000000"/>
                <w:szCs w:val="21"/>
                <w:lang w:val="en-US" w:eastAsia="zh-CN"/>
              </w:rPr>
            </w:pPr>
            <w:r>
              <w:rPr>
                <w:rFonts w:hint="eastAsia" w:ascii="方正仿宋_GBK" w:hAnsi="方正仿宋_GBK" w:eastAsia="方正仿宋_GBK" w:cs="方正仿宋_GBK"/>
                <w:bCs/>
                <w:color w:val="000000"/>
                <w:szCs w:val="21"/>
                <w:lang w:val="en-US" w:eastAsia="zh-CN"/>
              </w:rPr>
              <w:t>18.2</w:t>
            </w:r>
          </w:p>
        </w:tc>
        <w:tc>
          <w:tcPr>
            <w:tcW w:w="485" w:type="pct"/>
            <w:vMerge w:val="continue"/>
            <w:tcBorders>
              <w:left w:val="single" w:color="auto" w:sz="4" w:space="0"/>
              <w:right w:val="single" w:color="auto" w:sz="4" w:space="0"/>
            </w:tcBorders>
          </w:tcPr>
          <w:p>
            <w:pPr>
              <w:rPr>
                <w:rFonts w:hint="eastAsia" w:ascii="方正仿宋_GBK" w:hAnsi="方正仿宋_GBK" w:eastAsia="方正仿宋_GBK" w:cs="方正仿宋_GBK"/>
                <w:bCs/>
                <w:color w:val="000000"/>
                <w:szCs w:val="21"/>
              </w:rPr>
            </w:pPr>
          </w:p>
        </w:tc>
        <w:tc>
          <w:tcPr>
            <w:tcW w:w="455" w:type="pct"/>
            <w:vMerge w:val="continue"/>
            <w:tcBorders>
              <w:left w:val="single" w:color="auto" w:sz="4" w:space="0"/>
              <w:right w:val="single" w:color="auto" w:sz="4" w:space="0"/>
            </w:tcBorders>
          </w:tcPr>
          <w:p>
            <w:pPr>
              <w:spacing w:line="440" w:lineRule="exact"/>
              <w:jc w:val="center"/>
              <w:rPr>
                <w:rFonts w:hint="eastAsia" w:ascii="方正仿宋_GBK" w:hAnsi="方正仿宋_GBK" w:eastAsia="方正仿宋_GBK" w:cs="方正仿宋_GBK"/>
                <w:bCs/>
                <w:color w:val="000000"/>
                <w:szCs w:val="21"/>
              </w:rPr>
            </w:pPr>
          </w:p>
        </w:tc>
        <w:tc>
          <w:tcPr>
            <w:tcW w:w="574" w:type="pct"/>
            <w:vMerge w:val="continue"/>
            <w:tcBorders>
              <w:left w:val="single" w:color="auto" w:sz="4" w:space="0"/>
              <w:right w:val="single" w:color="auto" w:sz="4" w:space="0"/>
            </w:tcBorders>
            <w:vAlign w:val="center"/>
          </w:tcPr>
          <w:p>
            <w:pPr>
              <w:spacing w:line="440" w:lineRule="exact"/>
              <w:jc w:val="center"/>
              <w:rPr>
                <w:rFonts w:hint="eastAsia" w:ascii="方正仿宋_GBK" w:hAnsi="方正仿宋_GBK" w:eastAsia="方正仿宋_GBK" w:cs="方正仿宋_GBK"/>
                <w:bCs/>
                <w:color w:val="000000"/>
                <w:szCs w:val="21"/>
              </w:rPr>
            </w:pPr>
          </w:p>
        </w:tc>
      </w:tr>
    </w:tbl>
    <w:p>
      <w:pPr>
        <w:spacing w:before="156" w:beforeLines="50" w:line="360" w:lineRule="auto"/>
        <w:ind w:firstLine="560" w:firstLineChars="200"/>
        <w:outlineLvl w:val="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报价应包含所有监测仪器设备的土建和安装及安装过程中配件、材料、基础建设、浇筑安装、青苗补偿、施工便道、设备调试、接入、材料检测、抽检和验收、五年质保期内因工程施工质量而导致设备更换、整改等全部费用。</w:t>
      </w:r>
    </w:p>
    <w:p>
      <w:pPr>
        <w:spacing w:line="360" w:lineRule="auto"/>
        <w:ind w:left="420" w:left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（二）监测预警设备要求</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1、监测预警设备数量需求</w:t>
      </w:r>
    </w:p>
    <w:tbl>
      <w:tblPr>
        <w:tblStyle w:val="14"/>
        <w:tblW w:w="5745" w:type="pct"/>
        <w:tblInd w:w="-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3538"/>
        <w:gridCol w:w="2198"/>
        <w:gridCol w:w="2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8" w:hRule="atLeast"/>
        </w:trPr>
        <w:tc>
          <w:tcPr>
            <w:tcW w:w="1011" w:type="pct"/>
            <w:vMerge w:val="restart"/>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招标项目</w:t>
            </w:r>
          </w:p>
        </w:tc>
        <w:tc>
          <w:tcPr>
            <w:tcW w:w="1806" w:type="pct"/>
            <w:vMerge w:val="restart"/>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灾害点名称</w:t>
            </w:r>
          </w:p>
        </w:tc>
        <w:tc>
          <w:tcPr>
            <w:tcW w:w="2182" w:type="pct"/>
            <w:gridSpan w:val="2"/>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监测设备及工作量（套）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1011" w:type="pct"/>
            <w:vMerge w:val="continue"/>
            <w:vAlign w:val="center"/>
          </w:tcPr>
          <w:p>
            <w:pPr>
              <w:spacing w:line="440" w:lineRule="exact"/>
              <w:jc w:val="center"/>
              <w:rPr>
                <w:rFonts w:hint="eastAsia" w:ascii="方正仿宋_GBK" w:hAnsi="方正仿宋_GBK" w:eastAsia="方正仿宋_GBK" w:cs="方正仿宋_GBK"/>
                <w:bCs/>
                <w:color w:val="000000"/>
                <w:szCs w:val="21"/>
              </w:rPr>
            </w:pPr>
          </w:p>
        </w:tc>
        <w:tc>
          <w:tcPr>
            <w:tcW w:w="1806" w:type="pct"/>
            <w:vMerge w:val="continue"/>
            <w:vAlign w:val="center"/>
          </w:tcPr>
          <w:p>
            <w:pPr>
              <w:spacing w:line="440" w:lineRule="exact"/>
              <w:jc w:val="center"/>
              <w:rPr>
                <w:rFonts w:hint="eastAsia" w:ascii="方正仿宋_GBK" w:hAnsi="方正仿宋_GBK" w:eastAsia="方正仿宋_GBK" w:cs="方正仿宋_GBK"/>
                <w:bCs/>
                <w:color w:val="000000"/>
                <w:szCs w:val="21"/>
              </w:rPr>
            </w:pPr>
          </w:p>
        </w:tc>
        <w:tc>
          <w:tcPr>
            <w:tcW w:w="1122" w:type="pct"/>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地表裂缝监测</w:t>
            </w:r>
          </w:p>
        </w:tc>
        <w:tc>
          <w:tcPr>
            <w:tcW w:w="1060" w:type="pct"/>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应力监测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11" w:type="pct"/>
            <w:vMerge w:val="restart"/>
            <w:noWrap/>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二标段</w:t>
            </w:r>
          </w:p>
        </w:tc>
        <w:tc>
          <w:tcPr>
            <w:tcW w:w="1806" w:type="pct"/>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大硝洞3号-4号危岩带</w:t>
            </w:r>
          </w:p>
        </w:tc>
        <w:tc>
          <w:tcPr>
            <w:tcW w:w="1122" w:type="pct"/>
            <w:noWrap/>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3</w:t>
            </w:r>
          </w:p>
        </w:tc>
        <w:tc>
          <w:tcPr>
            <w:tcW w:w="1060" w:type="pct"/>
            <w:noWrap/>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11" w:type="pct"/>
            <w:vMerge w:val="continue"/>
            <w:noWrap/>
            <w:vAlign w:val="center"/>
          </w:tcPr>
          <w:p>
            <w:pPr>
              <w:spacing w:line="440" w:lineRule="exact"/>
              <w:jc w:val="center"/>
              <w:rPr>
                <w:rFonts w:hint="eastAsia" w:ascii="方正仿宋_GBK" w:hAnsi="方正仿宋_GBK" w:eastAsia="方正仿宋_GBK" w:cs="方正仿宋_GBK"/>
                <w:bCs/>
                <w:color w:val="000000"/>
                <w:szCs w:val="21"/>
              </w:rPr>
            </w:pPr>
          </w:p>
        </w:tc>
        <w:tc>
          <w:tcPr>
            <w:tcW w:w="1806" w:type="pct"/>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坳口危岩带</w:t>
            </w:r>
          </w:p>
        </w:tc>
        <w:tc>
          <w:tcPr>
            <w:tcW w:w="1122" w:type="pct"/>
            <w:noWrap/>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4</w:t>
            </w:r>
          </w:p>
        </w:tc>
        <w:tc>
          <w:tcPr>
            <w:tcW w:w="1060" w:type="pct"/>
            <w:noWrap/>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11" w:type="pct"/>
            <w:vMerge w:val="restart"/>
            <w:noWrap/>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三标段</w:t>
            </w:r>
          </w:p>
        </w:tc>
        <w:tc>
          <w:tcPr>
            <w:tcW w:w="1806" w:type="pct"/>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风箱峡-干沟子危岩带</w:t>
            </w:r>
          </w:p>
        </w:tc>
        <w:tc>
          <w:tcPr>
            <w:tcW w:w="1122" w:type="pct"/>
            <w:noWrap/>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4</w:t>
            </w:r>
          </w:p>
        </w:tc>
        <w:tc>
          <w:tcPr>
            <w:tcW w:w="1060" w:type="pct"/>
            <w:noWrap/>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11" w:type="pct"/>
            <w:vMerge w:val="continue"/>
            <w:noWrap/>
            <w:vAlign w:val="center"/>
          </w:tcPr>
          <w:p>
            <w:pPr>
              <w:spacing w:line="440" w:lineRule="exact"/>
              <w:jc w:val="center"/>
              <w:rPr>
                <w:rFonts w:hint="eastAsia" w:ascii="方正仿宋_GBK" w:hAnsi="方正仿宋_GBK" w:eastAsia="方正仿宋_GBK" w:cs="方正仿宋_GBK"/>
                <w:bCs/>
                <w:color w:val="000000"/>
                <w:szCs w:val="21"/>
              </w:rPr>
            </w:pPr>
          </w:p>
        </w:tc>
        <w:tc>
          <w:tcPr>
            <w:tcW w:w="1806" w:type="pct"/>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吊嘴-狮子包危岩带</w:t>
            </w:r>
          </w:p>
        </w:tc>
        <w:tc>
          <w:tcPr>
            <w:tcW w:w="1122" w:type="pct"/>
            <w:noWrap/>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7</w:t>
            </w:r>
          </w:p>
        </w:tc>
        <w:tc>
          <w:tcPr>
            <w:tcW w:w="1060" w:type="pct"/>
            <w:noWrap/>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2817" w:type="pct"/>
            <w:gridSpan w:val="2"/>
            <w:noWrap/>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合计设备采购数量</w:t>
            </w:r>
          </w:p>
        </w:tc>
        <w:tc>
          <w:tcPr>
            <w:tcW w:w="1122" w:type="pct"/>
            <w:noWrap/>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18</w:t>
            </w:r>
          </w:p>
        </w:tc>
        <w:tc>
          <w:tcPr>
            <w:tcW w:w="1060" w:type="pct"/>
            <w:noWrap/>
            <w:vAlign w:val="center"/>
          </w:tcPr>
          <w:p>
            <w:pPr>
              <w:spacing w:line="440" w:lineRule="exact"/>
              <w:jc w:val="center"/>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7</w:t>
            </w:r>
          </w:p>
        </w:tc>
      </w:tr>
    </w:tbl>
    <w:p>
      <w:pPr>
        <w:snapToGrid w:val="0"/>
        <w:spacing w:line="360" w:lineRule="auto"/>
        <w:rPr>
          <w:rFonts w:hint="eastAsia" w:ascii="仿宋_GB2312" w:hAnsi="仿宋_GB2312" w:eastAsia="仿宋_GB2312" w:cs="仿宋_GB2312"/>
          <w:color w:val="000000" w:themeColor="text1"/>
          <w:kern w:val="0"/>
          <w:sz w:val="28"/>
          <w:szCs w:val="28"/>
          <w14:textFill>
            <w14:solidFill>
              <w14:schemeClr w14:val="tx1"/>
            </w14:solidFill>
          </w14:textFill>
        </w:rPr>
      </w:pPr>
    </w:p>
    <w:p>
      <w:pPr>
        <w:snapToGrid w:val="0"/>
        <w:spacing w:line="360" w:lineRule="auto"/>
        <w:ind w:firstLine="560" w:firstLineChars="200"/>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2、监测预警设备配置需求</w:t>
      </w:r>
    </w:p>
    <w:tbl>
      <w:tblPr>
        <w:tblStyle w:val="14"/>
        <w:tblW w:w="9780" w:type="dxa"/>
        <w:tblInd w:w="-591" w:type="dxa"/>
        <w:tblLayout w:type="autofit"/>
        <w:tblCellMar>
          <w:top w:w="0" w:type="dxa"/>
          <w:left w:w="108" w:type="dxa"/>
          <w:bottom w:w="0" w:type="dxa"/>
          <w:right w:w="108" w:type="dxa"/>
        </w:tblCellMar>
      </w:tblPr>
      <w:tblGrid>
        <w:gridCol w:w="825"/>
        <w:gridCol w:w="1695"/>
        <w:gridCol w:w="1140"/>
        <w:gridCol w:w="2507"/>
        <w:gridCol w:w="3613"/>
      </w:tblGrid>
      <w:tr>
        <w:tblPrEx>
          <w:tblCellMar>
            <w:top w:w="0" w:type="dxa"/>
            <w:left w:w="108" w:type="dxa"/>
            <w:bottom w:w="0" w:type="dxa"/>
            <w:right w:w="108" w:type="dxa"/>
          </w:tblCellMar>
        </w:tblPrEx>
        <w:trPr>
          <w:trHeight w:val="780" w:hRule="atLeast"/>
          <w:tblHeader/>
        </w:trPr>
        <w:tc>
          <w:tcPr>
            <w:tcW w:w="82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lang w:bidi="ar"/>
              </w:rPr>
              <w:t>序号</w:t>
            </w:r>
          </w:p>
        </w:tc>
        <w:tc>
          <w:tcPr>
            <w:tcW w:w="1695"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hint="eastAsia"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lang w:bidi="ar"/>
              </w:rPr>
              <w:t>设备名称</w:t>
            </w:r>
          </w:p>
        </w:tc>
        <w:tc>
          <w:tcPr>
            <w:tcW w:w="114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hint="eastAsia" w:ascii="方正仿宋_GBK" w:hAnsi="方正仿宋_GBK" w:eastAsia="方正仿宋_GBK" w:cs="方正仿宋_GBK"/>
                <w:color w:val="000000"/>
                <w:szCs w:val="21"/>
              </w:rPr>
            </w:pPr>
            <w:r>
              <w:rPr>
                <w:rFonts w:hint="eastAsia" w:ascii="方正仿宋_GBK" w:hAnsi="方正仿宋_GBK" w:eastAsia="方正仿宋_GBK" w:cs="方正仿宋_GBK"/>
                <w:color w:val="000000"/>
                <w:szCs w:val="21"/>
              </w:rPr>
              <w:t>设备数量（套）</w:t>
            </w:r>
          </w:p>
        </w:tc>
        <w:tc>
          <w:tcPr>
            <w:tcW w:w="2507"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hint="eastAsia"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lang w:bidi="ar"/>
              </w:rPr>
              <w:t>设备配置需求</w:t>
            </w:r>
          </w:p>
        </w:tc>
        <w:tc>
          <w:tcPr>
            <w:tcW w:w="3613"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hint="default" w:ascii="方正仿宋_GBK" w:hAnsi="方正仿宋_GBK" w:eastAsia="方正仿宋_GBK" w:cs="方正仿宋_GBK"/>
                <w:color w:val="000000"/>
                <w:kern w:val="0"/>
                <w:szCs w:val="21"/>
                <w:lang w:val="en-US" w:eastAsia="zh-CN" w:bidi="ar"/>
              </w:rPr>
            </w:pPr>
            <w:r>
              <w:rPr>
                <w:rFonts w:hint="eastAsia" w:ascii="方正仿宋_GBK" w:hAnsi="方正仿宋_GBK" w:eastAsia="方正仿宋_GBK" w:cs="方正仿宋_GBK"/>
                <w:color w:val="000000"/>
                <w:kern w:val="0"/>
                <w:szCs w:val="21"/>
                <w:lang w:val="en-US" w:eastAsia="zh-CN" w:bidi="ar"/>
              </w:rPr>
              <w:t>设备配置要求</w:t>
            </w:r>
          </w:p>
        </w:tc>
      </w:tr>
      <w:tr>
        <w:tblPrEx>
          <w:tblCellMar>
            <w:top w:w="0" w:type="dxa"/>
            <w:left w:w="108" w:type="dxa"/>
            <w:bottom w:w="0" w:type="dxa"/>
            <w:right w:w="108" w:type="dxa"/>
          </w:tblCellMar>
        </w:tblPrEx>
        <w:trPr>
          <w:trHeight w:val="525" w:hRule="atLeast"/>
        </w:trPr>
        <w:tc>
          <w:tcPr>
            <w:tcW w:w="825"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lang w:bidi="ar"/>
              </w:rPr>
              <w:t>1</w:t>
            </w:r>
          </w:p>
        </w:tc>
        <w:tc>
          <w:tcPr>
            <w:tcW w:w="169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eastAsia"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lang w:bidi="ar"/>
              </w:rPr>
              <w:t xml:space="preserve">地表裂缝 </w:t>
            </w:r>
            <w:r>
              <w:rPr>
                <w:rFonts w:hint="eastAsia" w:ascii="方正仿宋_GBK" w:hAnsi="方正仿宋_GBK" w:eastAsia="方正仿宋_GBK" w:cs="方正仿宋_GBK"/>
                <w:color w:val="000000"/>
                <w:kern w:val="0"/>
                <w:szCs w:val="21"/>
                <w:lang w:val="en-US" w:eastAsia="zh-CN" w:bidi="ar"/>
              </w:rPr>
              <w:t xml:space="preserve">    </w:t>
            </w:r>
            <w:r>
              <w:rPr>
                <w:rFonts w:hint="eastAsia" w:ascii="方正仿宋_GBK" w:hAnsi="方正仿宋_GBK" w:eastAsia="方正仿宋_GBK" w:cs="方正仿宋_GBK"/>
                <w:color w:val="000000"/>
                <w:kern w:val="0"/>
                <w:szCs w:val="21"/>
                <w:lang w:bidi="ar"/>
              </w:rPr>
              <w:t xml:space="preserve"> 监测设备</w:t>
            </w:r>
          </w:p>
        </w:tc>
        <w:tc>
          <w:tcPr>
            <w:tcW w:w="1140"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eastAsia"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lang w:bidi="ar"/>
              </w:rPr>
              <w:t>18</w:t>
            </w:r>
          </w:p>
        </w:tc>
        <w:tc>
          <w:tcPr>
            <w:tcW w:w="2507"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eastAsia"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lang w:bidi="ar"/>
              </w:rPr>
              <w:t>含天线及数传模块、太阳能板、锂电池、配电箱、物联网卡、四芯线缆及保护管等</w:t>
            </w:r>
          </w:p>
        </w:tc>
        <w:tc>
          <w:tcPr>
            <w:tcW w:w="3613" w:type="dxa"/>
            <w:tcBorders>
              <w:top w:val="nil"/>
              <w:left w:val="nil"/>
              <w:bottom w:val="single" w:color="000000" w:sz="8" w:space="0"/>
              <w:right w:val="single" w:color="000000" w:sz="8" w:space="0"/>
            </w:tcBorders>
            <w:shd w:val="clear" w:color="auto" w:fill="auto"/>
            <w:vAlign w:val="center"/>
          </w:tcPr>
          <w:p>
            <w:pPr>
              <w:widowControl/>
              <w:textAlignment w:val="center"/>
              <w:rPr>
                <w:rFonts w:hint="eastAsia" w:ascii="方正仿宋_GBK" w:hAnsi="方正仿宋_GBK" w:eastAsia="方正仿宋_GBK" w:cs="方正仿宋_GBK"/>
                <w:color w:val="000000"/>
                <w:kern w:val="0"/>
                <w:szCs w:val="21"/>
                <w:lang w:bidi="ar"/>
              </w:rPr>
            </w:pPr>
            <w:r>
              <w:rPr>
                <w:rFonts w:hint="eastAsia" w:ascii="方正仿宋_GBK" w:hAnsi="方正仿宋_GBK" w:eastAsia="方正仿宋_GBK" w:cs="方正仿宋_GBK"/>
                <w:color w:val="000000"/>
                <w:kern w:val="0"/>
                <w:szCs w:val="21"/>
                <w:lang w:bidi="ar"/>
              </w:rPr>
              <w:t>太阳能板功率≥40W，锂电池≥100Ah，四芯屏蔽线缆规格为4×0.25防雷线缆，分段处采用防水接头连接；保护管为能够穿过对应线缆的黑色铝塑管；物联网卡含1年通讯费用。</w:t>
            </w:r>
          </w:p>
        </w:tc>
      </w:tr>
      <w:tr>
        <w:tblPrEx>
          <w:tblCellMar>
            <w:top w:w="0" w:type="dxa"/>
            <w:left w:w="108" w:type="dxa"/>
            <w:bottom w:w="0" w:type="dxa"/>
            <w:right w:w="108" w:type="dxa"/>
          </w:tblCellMar>
        </w:tblPrEx>
        <w:trPr>
          <w:trHeight w:val="285" w:hRule="atLeast"/>
        </w:trPr>
        <w:tc>
          <w:tcPr>
            <w:tcW w:w="825"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lang w:bidi="ar"/>
              </w:rPr>
              <w:t>2</w:t>
            </w:r>
          </w:p>
        </w:tc>
        <w:tc>
          <w:tcPr>
            <w:tcW w:w="1695"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eastAsia"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lang w:bidi="ar"/>
              </w:rPr>
              <w:t xml:space="preserve">应力计    </w:t>
            </w:r>
            <w:r>
              <w:rPr>
                <w:rFonts w:hint="eastAsia" w:ascii="方正仿宋_GBK" w:hAnsi="方正仿宋_GBK" w:eastAsia="方正仿宋_GBK" w:cs="方正仿宋_GBK"/>
                <w:color w:val="000000"/>
                <w:kern w:val="0"/>
                <w:szCs w:val="21"/>
                <w:lang w:val="en-US" w:eastAsia="zh-CN" w:bidi="ar"/>
              </w:rPr>
              <w:t xml:space="preserve">   </w:t>
            </w:r>
            <w:r>
              <w:rPr>
                <w:rFonts w:hint="eastAsia" w:ascii="方正仿宋_GBK" w:hAnsi="方正仿宋_GBK" w:eastAsia="方正仿宋_GBK" w:cs="方正仿宋_GBK"/>
                <w:color w:val="000000"/>
                <w:kern w:val="0"/>
                <w:szCs w:val="21"/>
                <w:lang w:bidi="ar"/>
              </w:rPr>
              <w:t>监测设备</w:t>
            </w:r>
          </w:p>
        </w:tc>
        <w:tc>
          <w:tcPr>
            <w:tcW w:w="1140"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eastAsia"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lang w:bidi="ar"/>
              </w:rPr>
              <w:t>7</w:t>
            </w:r>
          </w:p>
        </w:tc>
        <w:tc>
          <w:tcPr>
            <w:tcW w:w="2507"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eastAsia"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lang w:bidi="ar"/>
              </w:rPr>
              <w:t>含天线及数传模块、太阳能板、锂电池、配电箱、物联网卡、四芯线缆及保护管等</w:t>
            </w:r>
          </w:p>
        </w:tc>
        <w:tc>
          <w:tcPr>
            <w:tcW w:w="3613" w:type="dxa"/>
            <w:tcBorders>
              <w:top w:val="nil"/>
              <w:left w:val="nil"/>
              <w:bottom w:val="single" w:color="000000" w:sz="8" w:space="0"/>
              <w:right w:val="single" w:color="000000" w:sz="8" w:space="0"/>
            </w:tcBorders>
            <w:shd w:val="clear" w:color="auto" w:fill="auto"/>
          </w:tcPr>
          <w:p>
            <w:pPr>
              <w:widowControl/>
              <w:textAlignment w:val="center"/>
              <w:rPr>
                <w:rFonts w:hint="eastAsia" w:ascii="方正仿宋_GBK" w:hAnsi="方正仿宋_GBK" w:eastAsia="方正仿宋_GBK" w:cs="方正仿宋_GBK"/>
                <w:color w:val="000000"/>
                <w:kern w:val="0"/>
                <w:szCs w:val="21"/>
                <w:lang w:bidi="ar"/>
              </w:rPr>
            </w:pPr>
            <w:r>
              <w:rPr>
                <w:rFonts w:hint="eastAsia" w:ascii="方正仿宋_GBK" w:hAnsi="方正仿宋_GBK" w:eastAsia="方正仿宋_GBK" w:cs="方正仿宋_GBK"/>
                <w:color w:val="000000"/>
                <w:kern w:val="0"/>
                <w:szCs w:val="21"/>
                <w:lang w:bidi="ar"/>
              </w:rPr>
              <w:t>太阳能板功率≥40W，锂电池≥100Ah，四芯屏蔽线缆规格为4×0.25防雷线缆，分段处采用防水接头连接；保护管为能够穿过对应线缆的黑色铝塑管；物联网卡含1年通讯费用。</w:t>
            </w:r>
          </w:p>
        </w:tc>
      </w:tr>
    </w:tbl>
    <w:p>
      <w:pPr>
        <w:spacing w:before="156" w:beforeLines="50" w:line="360" w:lineRule="auto"/>
        <w:ind w:firstLine="560" w:firstLineChars="200"/>
        <w:outlineLvl w:val="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3、监测预警设备质量和服务需求</w:t>
      </w:r>
    </w:p>
    <w:p>
      <w:pPr>
        <w:snapToGrid w:val="0"/>
        <w:spacing w:line="360" w:lineRule="auto"/>
        <w:ind w:firstLine="560" w:firstLineChars="200"/>
        <w:rPr>
          <w:rFonts w:hint="eastAsia" w:ascii="仿宋_GB2312" w:hAnsi="仿宋_GB2312" w:eastAsia="仿宋_GB2312" w:cs="仿宋_GB2312"/>
          <w:kern w:val="0"/>
          <w:sz w:val="28"/>
          <w:szCs w:val="28"/>
        </w:rPr>
      </w:pPr>
      <w:bookmarkStart w:id="6" w:name="_Toc2253"/>
      <w:r>
        <w:rPr>
          <w:rFonts w:hint="eastAsia" w:ascii="仿宋_GB2312" w:hAnsi="仿宋_GB2312" w:eastAsia="仿宋_GB2312" w:cs="仿宋_GB2312"/>
          <w:kern w:val="0"/>
          <w:sz w:val="28"/>
          <w:szCs w:val="28"/>
        </w:rPr>
        <w:t>根据招标文件要求，本项目监测预警设备选型须满足如下质量和服务要求：</w:t>
      </w:r>
    </w:p>
    <w:p>
      <w:pPr>
        <w:snapToGrid w:val="0"/>
        <w:spacing w:line="360" w:lineRule="auto"/>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（1）采用设备性能、工作时间达到国内一流标准的监测设备；</w:t>
      </w:r>
    </w:p>
    <w:p>
      <w:pPr>
        <w:snapToGrid w:val="0"/>
        <w:spacing w:line="360" w:lineRule="auto"/>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（2）采用设备主要技术参数符合《重庆市地质灾害专业监测预警技术要求》（试行）（渝规资﹝2018﹞100号）规定（详见附件2）；</w:t>
      </w:r>
    </w:p>
    <w:p>
      <w:pPr>
        <w:snapToGrid w:val="0"/>
        <w:spacing w:line="360" w:lineRule="auto"/>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（3）采用设备应具备将监测数据接入重庆市地质灾害专业监测系统，并确保接入升级改造后的重庆市地质灾害监测预警信息系统</w:t>
      </w:r>
      <w:bookmarkEnd w:id="6"/>
      <w:r>
        <w:rPr>
          <w:rFonts w:hint="eastAsia" w:ascii="仿宋_GB2312" w:hAnsi="仿宋_GB2312" w:eastAsia="仿宋_GB2312" w:cs="仿宋_GB2312"/>
          <w:kern w:val="0"/>
          <w:sz w:val="28"/>
          <w:szCs w:val="28"/>
        </w:rPr>
        <w:t>的能力；</w:t>
      </w:r>
    </w:p>
    <w:p>
      <w:pPr>
        <w:snapToGrid w:val="0"/>
        <w:spacing w:line="360" w:lineRule="auto"/>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（4）供应商须在采用设备安装验收后五年期内，提供免费的设备维护服务，对损坏的设备和零部件进行免费更换。</w:t>
      </w:r>
    </w:p>
    <w:p>
      <w:pPr>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（三）</w:t>
      </w:r>
      <w:r>
        <w:rPr>
          <w:rFonts w:hint="eastAsia" w:ascii="仿宋_GB2312" w:hAnsi="仿宋_GB2312" w:eastAsia="仿宋_GB2312" w:cs="仿宋_GB2312"/>
          <w:sz w:val="28"/>
          <w:szCs w:val="28"/>
        </w:rPr>
        <w:t>土建和安装工作要求</w:t>
      </w:r>
    </w:p>
    <w:p>
      <w:pPr>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1、工作区概况</w:t>
      </w:r>
    </w:p>
    <w:p>
      <w:pPr>
        <w:snapToGrid w:val="0"/>
        <w:spacing w:line="360" w:lineRule="auto"/>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本项目监测区域位于三峡库区奉节县瞿塘峡段两侧岸坡，左岸长度3.806km，右岸长度3.871km，左右岸总长7.677Km，覆盖奉节县夔门街道、白帝镇、永乐镇等3个乡镇。该监测区属于高陡峡谷区，岸坡坡脚基本无陆路条件，交通仅由水路可达，岸坡坡顶有乡村小路，交通不便。瞿塘峡江面根据长江水位情况，原始宽度约为200～400m，峡谷内多为近直立或直立、甚至倒坡悬崖，高度普遍在100～400m，危岩体广泛分布于陡崖带的崖面上。为使各供应商充分了解项目实际情况，可自行前往现场进行踏勘。</w:t>
      </w:r>
    </w:p>
    <w:p>
      <w:pPr>
        <w:pStyle w:val="13"/>
        <w:ind w:firstLine="0" w:firstLineChars="0"/>
      </w:pPr>
      <w:r>
        <w:drawing>
          <wp:inline distT="0" distB="0" distL="0" distR="0">
            <wp:extent cx="5272405" cy="2068830"/>
            <wp:effectExtent l="0" t="0" r="10795" b="1270"/>
            <wp:docPr id="1026" name="图片 7"/>
            <wp:cNvGraphicFramePr/>
            <a:graphic xmlns:a="http://schemas.openxmlformats.org/drawingml/2006/main">
              <a:graphicData uri="http://schemas.openxmlformats.org/drawingml/2006/picture">
                <pic:pic xmlns:pic="http://schemas.openxmlformats.org/drawingml/2006/picture">
                  <pic:nvPicPr>
                    <pic:cNvPr id="1026" name="图片 7"/>
                    <pic:cNvPicPr/>
                  </pic:nvPicPr>
                  <pic:blipFill>
                    <a:blip r:embed="rId5" cstate="print"/>
                    <a:srcRect/>
                    <a:stretch>
                      <a:fillRect/>
                    </a:stretch>
                  </pic:blipFill>
                  <pic:spPr>
                    <a:xfrm>
                      <a:off x="0" y="0"/>
                      <a:ext cx="5272405" cy="2068830"/>
                    </a:xfrm>
                    <a:prstGeom prst="rect">
                      <a:avLst/>
                    </a:prstGeom>
                    <a:ln>
                      <a:noFill/>
                    </a:ln>
                  </pic:spPr>
                </pic:pic>
              </a:graphicData>
            </a:graphic>
          </wp:inline>
        </w:drawing>
      </w:r>
    </w:p>
    <w:p>
      <w:pPr>
        <w:spacing w:line="440" w:lineRule="exact"/>
        <w:ind w:firstLine="480" w:firstLineChars="200"/>
        <w:jc w:val="center"/>
        <w:rPr>
          <w:rFonts w:hint="eastAsia"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图1 瞿塘峡左岸示意图</w:t>
      </w:r>
    </w:p>
    <w:p>
      <w:pPr>
        <w:pStyle w:val="13"/>
        <w:ind w:firstLine="0" w:firstLineChars="0"/>
        <w:jc w:val="center"/>
      </w:pPr>
      <w:r>
        <w:drawing>
          <wp:inline distT="0" distB="0" distL="0" distR="0">
            <wp:extent cx="5268595" cy="2459990"/>
            <wp:effectExtent l="0" t="0" r="1905" b="3810"/>
            <wp:docPr id="1027" name="图片 8"/>
            <wp:cNvGraphicFramePr/>
            <a:graphic xmlns:a="http://schemas.openxmlformats.org/drawingml/2006/main">
              <a:graphicData uri="http://schemas.openxmlformats.org/drawingml/2006/picture">
                <pic:pic xmlns:pic="http://schemas.openxmlformats.org/drawingml/2006/picture">
                  <pic:nvPicPr>
                    <pic:cNvPr id="1027" name="图片 8"/>
                    <pic:cNvPicPr/>
                  </pic:nvPicPr>
                  <pic:blipFill>
                    <a:blip r:embed="rId6" cstate="print"/>
                    <a:srcRect/>
                    <a:stretch>
                      <a:fillRect/>
                    </a:stretch>
                  </pic:blipFill>
                  <pic:spPr>
                    <a:xfrm>
                      <a:off x="0" y="0"/>
                      <a:ext cx="5268595" cy="2459990"/>
                    </a:xfrm>
                    <a:prstGeom prst="rect">
                      <a:avLst/>
                    </a:prstGeom>
                    <a:ln>
                      <a:noFill/>
                    </a:ln>
                  </pic:spPr>
                </pic:pic>
              </a:graphicData>
            </a:graphic>
          </wp:inline>
        </w:drawing>
      </w:r>
    </w:p>
    <w:p>
      <w:pPr>
        <w:spacing w:line="440" w:lineRule="exact"/>
        <w:ind w:firstLine="480" w:firstLineChars="200"/>
        <w:jc w:val="center"/>
        <w:rPr>
          <w:rFonts w:hint="eastAsia"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图2 瞿塘峡右岸示意图</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2、土建和安装工作说明</w:t>
      </w:r>
    </w:p>
    <w:p>
      <w:pPr>
        <w:snapToGrid w:val="0"/>
        <w:spacing w:line="52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本次监测预警工作计划在瞿塘峡段两侧高陡斜坡，布设18处裂缝监测点和7处应力监测点。现以瞿塘峡吊嘴危岩的监测预警设备安装为例，对土建和安装情况进行详细说明：</w:t>
      </w:r>
    </w:p>
    <w:p>
      <w:pPr>
        <w:snapToGrid w:val="0"/>
        <w:spacing w:line="52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采用设备安装工作分两部分：一是传感器部分，二是采集仪和供电系统部分。传感器布设于崖壁表面危岩体上，3米立杆；采集仪和供电系统布设于陡崖带顶部易到达处。根据危岩体具体位置监测设备两部分之间用50-500m不等的四芯线缆连接，线缆需使用铝塑管保护。</w:t>
      </w:r>
    </w:p>
    <w:p>
      <w:pPr>
        <w:pStyle w:val="13"/>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pPr>
      <w:r>
        <w:rPr>
          <w:rFonts w:hint="eastAsia"/>
        </w:rPr>
        <w:drawing>
          <wp:inline distT="0" distB="0" distL="0" distR="0">
            <wp:extent cx="5023485" cy="3376930"/>
            <wp:effectExtent l="0" t="0" r="5715" b="4445"/>
            <wp:docPr id="1028" name="图片 9" descr="37eb3cef11b8cc19d0a020835e42a98"/>
            <wp:cNvGraphicFramePr/>
            <a:graphic xmlns:a="http://schemas.openxmlformats.org/drawingml/2006/main">
              <a:graphicData uri="http://schemas.openxmlformats.org/drawingml/2006/picture">
                <pic:pic xmlns:pic="http://schemas.openxmlformats.org/drawingml/2006/picture">
                  <pic:nvPicPr>
                    <pic:cNvPr id="1028" name="图片 9" descr="37eb3cef11b8cc19d0a020835e42a98"/>
                    <pic:cNvPicPr/>
                  </pic:nvPicPr>
                  <pic:blipFill>
                    <a:blip r:embed="rId7" cstate="print"/>
                    <a:srcRect/>
                    <a:stretch>
                      <a:fillRect/>
                    </a:stretch>
                  </pic:blipFill>
                  <pic:spPr>
                    <a:xfrm>
                      <a:off x="0" y="0"/>
                      <a:ext cx="5023485" cy="3376930"/>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图3 瞿塘峡吊嘴危岩全貌图</w:t>
      </w:r>
    </w:p>
    <w:p>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drawing>
          <wp:inline distT="0" distB="0" distL="114300" distR="114300">
            <wp:extent cx="4121150" cy="3093085"/>
            <wp:effectExtent l="0" t="0" r="3175" b="2540"/>
            <wp:docPr id="8" name="图片 7" descr="LB02安装完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LB02安装完成"/>
                    <pic:cNvPicPr>
                      <a:picLocks noChangeAspect="1"/>
                    </pic:cNvPicPr>
                  </pic:nvPicPr>
                  <pic:blipFill>
                    <a:blip r:embed="rId8"/>
                    <a:stretch>
                      <a:fillRect/>
                    </a:stretch>
                  </pic:blipFill>
                  <pic:spPr>
                    <a:xfrm>
                      <a:off x="0" y="0"/>
                      <a:ext cx="4121150" cy="3093085"/>
                    </a:xfrm>
                    <a:prstGeom prst="rect">
                      <a:avLst/>
                    </a:prstGeom>
                  </pic:spPr>
                </pic:pic>
              </a:graphicData>
            </a:graphic>
          </wp:inline>
        </w:drawing>
      </w:r>
    </w:p>
    <w:p>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ascii="方正仿宋_GBK" w:hAnsi="方正仿宋_GBK" w:eastAsia="方正仿宋_GBK" w:cs="方正仿宋_GBK"/>
          <w:color w:val="000000"/>
          <w:sz w:val="24"/>
          <w:szCs w:val="24"/>
        </w:rPr>
        <w:t>图4 崖壁裂缝计传感器安装</w:t>
      </w:r>
    </w:p>
    <w:p>
      <w:pPr>
        <w:pStyle w:val="13"/>
        <w:ind w:firstLine="0" w:firstLineChars="0"/>
        <w:jc w:val="center"/>
      </w:pPr>
      <w:r>
        <w:drawing>
          <wp:inline distT="0" distB="0" distL="114300" distR="114300">
            <wp:extent cx="4394200" cy="3296285"/>
            <wp:effectExtent l="0" t="0" r="6350" b="889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9"/>
                    <a:stretch>
                      <a:fillRect/>
                    </a:stretch>
                  </pic:blipFill>
                  <pic:spPr>
                    <a:xfrm>
                      <a:off x="0" y="0"/>
                      <a:ext cx="4394200" cy="3296285"/>
                    </a:xfrm>
                    <a:prstGeom prst="rect">
                      <a:avLst/>
                    </a:prstGeom>
                  </pic:spPr>
                </pic:pic>
              </a:graphicData>
            </a:graphic>
          </wp:inline>
        </w:drawing>
      </w:r>
    </w:p>
    <w:p>
      <w:pPr>
        <w:spacing w:line="440" w:lineRule="exact"/>
        <w:ind w:firstLine="480" w:firstLineChars="200"/>
        <w:jc w:val="center"/>
        <w:rPr>
          <w:rFonts w:hint="eastAsia"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图5 崖壁应力计传感器安装</w:t>
      </w:r>
    </w:p>
    <w:p>
      <w:pPr>
        <w:jc w:val="center"/>
      </w:pPr>
      <w:r>
        <w:drawing>
          <wp:inline distT="0" distB="0" distL="114300" distR="114300">
            <wp:extent cx="4420235" cy="3314700"/>
            <wp:effectExtent l="0" t="0" r="889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0"/>
                    <a:stretch>
                      <a:fillRect/>
                    </a:stretch>
                  </pic:blipFill>
                  <pic:spPr>
                    <a:xfrm>
                      <a:off x="0" y="0"/>
                      <a:ext cx="4420235" cy="3314700"/>
                    </a:xfrm>
                    <a:prstGeom prst="rect">
                      <a:avLst/>
                    </a:prstGeom>
                  </pic:spPr>
                </pic:pic>
              </a:graphicData>
            </a:graphic>
          </wp:inline>
        </w:drawing>
      </w:r>
    </w:p>
    <w:p>
      <w:pPr>
        <w:spacing w:line="440" w:lineRule="exact"/>
        <w:ind w:firstLine="480" w:firstLineChars="200"/>
        <w:jc w:val="center"/>
        <w:rPr>
          <w:rFonts w:hint="eastAsia"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图6 崖壁管线固定</w:t>
      </w:r>
    </w:p>
    <w:p>
      <w:pPr>
        <w:jc w:val="center"/>
      </w:pPr>
    </w:p>
    <w:p>
      <w:pPr>
        <w:pStyle w:val="13"/>
        <w:ind w:firstLine="0" w:firstLineChars="0"/>
      </w:pPr>
      <w:r>
        <w:rPr>
          <w:sz w:val="24"/>
        </w:rPr>
        <mc:AlternateContent>
          <mc:Choice Requires="wps">
            <w:drawing>
              <wp:anchor distT="0" distB="0" distL="0" distR="0" simplePos="0" relativeHeight="251659264" behindDoc="0" locked="0" layoutInCell="1" allowOverlap="1">
                <wp:simplePos x="0" y="0"/>
                <wp:positionH relativeFrom="column">
                  <wp:posOffset>2788920</wp:posOffset>
                </wp:positionH>
                <wp:positionV relativeFrom="paragraph">
                  <wp:posOffset>651510</wp:posOffset>
                </wp:positionV>
                <wp:extent cx="1033145" cy="260350"/>
                <wp:effectExtent l="126365" t="177800" r="8890" b="6350"/>
                <wp:wrapNone/>
                <wp:docPr id="1031" name="矩形标注 21"/>
                <wp:cNvGraphicFramePr/>
                <a:graphic xmlns:a="http://schemas.openxmlformats.org/drawingml/2006/main">
                  <a:graphicData uri="http://schemas.microsoft.com/office/word/2010/wordprocessingShape">
                    <wps:wsp>
                      <wps:cNvSpPr/>
                      <wps:spPr>
                        <a:xfrm>
                          <a:off x="0" y="0"/>
                          <a:ext cx="1033144" cy="260350"/>
                        </a:xfrm>
                        <a:prstGeom prst="wedgeRectCallout">
                          <a:avLst>
                            <a:gd name="adj1" fmla="val -58894"/>
                            <a:gd name="adj2" fmla="val -112301"/>
                          </a:avLst>
                        </a:prstGeom>
                        <a:solidFill>
                          <a:srgbClr val="FFFFFF"/>
                        </a:solidFill>
                        <a:ln w="9525" cap="flat" cmpd="sng">
                          <a:solidFill>
                            <a:srgbClr val="FF0000"/>
                          </a:solidFill>
                          <a:prstDash val="solid"/>
                          <a:miter/>
                          <a:headEnd type="none" w="med" len="med"/>
                          <a:tailEnd type="none" w="med" len="med"/>
                        </a:ln>
                      </wps:spPr>
                      <wps:txbx>
                        <w:txbxContent>
                          <w:p>
                            <w:r>
                              <w:rPr>
                                <w:rFonts w:hint="eastAsia"/>
                              </w:rPr>
                              <w:t xml:space="preserve">立杆及采集仪 </w:t>
                            </w:r>
                          </w:p>
                        </w:txbxContent>
                      </wps:txbx>
                      <wps:bodyPr upright="1"/>
                    </wps:wsp>
                  </a:graphicData>
                </a:graphic>
              </wp:anchor>
            </w:drawing>
          </mc:Choice>
          <mc:Fallback>
            <w:pict>
              <v:shape id="矩形标注 21" o:spid="_x0000_s1026" o:spt="61" type="#_x0000_t61" style="position:absolute;left:0pt;margin-left:219.6pt;margin-top:51.3pt;height:20.5pt;width:81.35pt;z-index:251659264;mso-width-relative:page;mso-height-relative:page;" fillcolor="#FFFFFF" filled="t" stroked="t" coordsize="21600,21600" o:gfxdata="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DTzv9oAAAALAQAADwAAAAAAAAABACAAAAAiAAAAZHJz&#10;L2Rvd25yZXYueG1sUEsBAhQAFAAAAAgAh07iQLpQTuE7AgAAkwQAAA4AAAAAAAAAAQAgAAAAKQEA&#10;AGRycy9lMm9Eb2MueG1sUEsFBgAAAAAGAAYAWQEAANYFAAAAAA==&#10;" adj="-1921,-13457">
                <v:fill on="t" focussize="0,0"/>
                <v:stroke color="#FF0000" joinstyle="miter"/>
                <v:imagedata o:title=""/>
                <o:lock v:ext="edit" aspectratio="f"/>
                <v:textbox>
                  <w:txbxContent>
                    <w:p>
                      <w:r>
                        <w:rPr>
                          <w:rFonts w:hint="eastAsia"/>
                        </w:rPr>
                        <w:t xml:space="preserve">立杆及采集仪 </w:t>
                      </w:r>
                    </w:p>
                  </w:txbxContent>
                </v:textbox>
              </v:shape>
            </w:pict>
          </mc:Fallback>
        </mc:AlternateContent>
      </w:r>
      <w:r>
        <w:rPr>
          <w:sz w:val="24"/>
        </w:rPr>
        <mc:AlternateContent>
          <mc:Choice Requires="wps">
            <w:drawing>
              <wp:anchor distT="0" distB="0" distL="0" distR="0" simplePos="0" relativeHeight="251660288" behindDoc="0" locked="0" layoutInCell="1" allowOverlap="1">
                <wp:simplePos x="0" y="0"/>
                <wp:positionH relativeFrom="column">
                  <wp:posOffset>759460</wp:posOffset>
                </wp:positionH>
                <wp:positionV relativeFrom="paragraph">
                  <wp:posOffset>1163955</wp:posOffset>
                </wp:positionV>
                <wp:extent cx="1134745" cy="262890"/>
                <wp:effectExtent l="4445" t="4445" r="168910" b="278765"/>
                <wp:wrapNone/>
                <wp:docPr id="1032" name="矩形标注 12"/>
                <wp:cNvGraphicFramePr/>
                <a:graphic xmlns:a="http://schemas.openxmlformats.org/drawingml/2006/main">
                  <a:graphicData uri="http://schemas.microsoft.com/office/word/2010/wordprocessingShape">
                    <wps:wsp>
                      <wps:cNvSpPr/>
                      <wps:spPr>
                        <a:xfrm>
                          <a:off x="0" y="0"/>
                          <a:ext cx="1134745" cy="262889"/>
                        </a:xfrm>
                        <a:prstGeom prst="wedgeRectCallout">
                          <a:avLst>
                            <a:gd name="adj1" fmla="val 61847"/>
                            <a:gd name="adj2" fmla="val 149079"/>
                          </a:avLst>
                        </a:prstGeom>
                        <a:solidFill>
                          <a:srgbClr val="FFFFFF"/>
                        </a:solidFill>
                        <a:ln w="9525" cap="flat" cmpd="sng">
                          <a:solidFill>
                            <a:srgbClr val="FF0000"/>
                          </a:solidFill>
                          <a:prstDash val="solid"/>
                          <a:miter/>
                          <a:headEnd type="none" w="med" len="med"/>
                          <a:tailEnd type="none" w="med" len="med"/>
                        </a:ln>
                      </wps:spPr>
                      <wps:txbx>
                        <w:txbxContent>
                          <w:p>
                            <w:r>
                              <w:rPr>
                                <w:rFonts w:hint="eastAsia"/>
                              </w:rPr>
                              <w:t>崖壁管线布设</w:t>
                            </w:r>
                          </w:p>
                          <w:p/>
                        </w:txbxContent>
                      </wps:txbx>
                      <wps:bodyPr upright="1"/>
                    </wps:wsp>
                  </a:graphicData>
                </a:graphic>
              </wp:anchor>
            </w:drawing>
          </mc:Choice>
          <mc:Fallback>
            <w:pict>
              <v:shape id="矩形标注 12" o:spid="_x0000_s1026" o:spt="61" type="#_x0000_t61" style="position:absolute;left:0pt;margin-left:59.8pt;margin-top:91.65pt;height:20.7pt;width:89.35pt;z-index:251660288;mso-width-relative:page;mso-height-relative:page;" fillcolor="#FFFFFF" filled="t" stroked="t" coordsize="21600,21600" o:gfxdata="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htIZV1wAAAAsBAAAPAAAAAAAAAAEAIAAAACIAAABkcnMvZG93&#10;bnJldi54bWxQSwECFAAUAAAACACHTuJAmTSUijoCAACRBAAADgAAAAAAAAABACAAAAAmAQAAZHJz&#10;L2Uyb0RvYy54bWxQSwUGAAAAAAYABgBZAQAA0gUAAAAA&#10;" adj="24159,43001">
                <v:fill on="t" focussize="0,0"/>
                <v:stroke color="#FF0000" joinstyle="miter"/>
                <v:imagedata o:title=""/>
                <o:lock v:ext="edit" aspectratio="f"/>
                <v:textbox>
                  <w:txbxContent>
                    <w:p>
                      <w:r>
                        <w:rPr>
                          <w:rFonts w:hint="eastAsia"/>
                        </w:rPr>
                        <w:t>崖壁管线布设</w:t>
                      </w:r>
                    </w:p>
                    <w:p/>
                  </w:txbxContent>
                </v:textbox>
              </v:shape>
            </w:pict>
          </mc:Fallback>
        </mc:AlternateContent>
      </w:r>
      <w:r>
        <w:rPr>
          <w:sz w:val="24"/>
        </w:rPr>
        <mc:AlternateContent>
          <mc:Choice Requires="wps">
            <w:drawing>
              <wp:anchor distT="0" distB="0" distL="0" distR="0" simplePos="0" relativeHeight="251661312" behindDoc="0" locked="0" layoutInCell="1" allowOverlap="1">
                <wp:simplePos x="0" y="0"/>
                <wp:positionH relativeFrom="column">
                  <wp:posOffset>807085</wp:posOffset>
                </wp:positionH>
                <wp:positionV relativeFrom="paragraph">
                  <wp:posOffset>579120</wp:posOffset>
                </wp:positionV>
                <wp:extent cx="1610360" cy="2332355"/>
                <wp:effectExtent l="4445" t="4445" r="10795" b="12700"/>
                <wp:wrapNone/>
                <wp:docPr id="1033" name="任意多边形 17"/>
                <wp:cNvGraphicFramePr/>
                <a:graphic xmlns:a="http://schemas.openxmlformats.org/drawingml/2006/main">
                  <a:graphicData uri="http://schemas.microsoft.com/office/word/2010/wordprocessingShape">
                    <wps:wsp>
                      <wps:cNvSpPr/>
                      <wps:spPr>
                        <a:xfrm>
                          <a:off x="0" y="0"/>
                          <a:ext cx="1610360" cy="2332355"/>
                        </a:xfrm>
                        <a:custGeom>
                          <a:avLst/>
                          <a:gdLst/>
                          <a:ahLst/>
                          <a:cxnLst/>
                          <a:rect l="l" t="t" r="r" b="b"/>
                          <a:pathLst>
                            <a:path w="2536" h="3673">
                              <a:moveTo>
                                <a:pt x="2536" y="0"/>
                              </a:moveTo>
                              <a:cubicBezTo>
                                <a:pt x="2513" y="6"/>
                                <a:pt x="2456" y="21"/>
                                <a:pt x="2409" y="37"/>
                              </a:cubicBezTo>
                              <a:cubicBezTo>
                                <a:pt x="2362" y="53"/>
                                <a:pt x="2340" y="51"/>
                                <a:pt x="2300" y="82"/>
                              </a:cubicBezTo>
                              <a:cubicBezTo>
                                <a:pt x="2260" y="113"/>
                                <a:pt x="2233" y="147"/>
                                <a:pt x="2209" y="191"/>
                              </a:cubicBezTo>
                              <a:cubicBezTo>
                                <a:pt x="2185" y="235"/>
                                <a:pt x="2189" y="256"/>
                                <a:pt x="2182" y="300"/>
                              </a:cubicBezTo>
                              <a:cubicBezTo>
                                <a:pt x="2175" y="344"/>
                                <a:pt x="2179" y="364"/>
                                <a:pt x="2173" y="409"/>
                              </a:cubicBezTo>
                              <a:cubicBezTo>
                                <a:pt x="2167" y="454"/>
                                <a:pt x="2161" y="481"/>
                                <a:pt x="2154" y="527"/>
                              </a:cubicBezTo>
                              <a:cubicBezTo>
                                <a:pt x="2147" y="573"/>
                                <a:pt x="2143" y="591"/>
                                <a:pt x="2136" y="637"/>
                              </a:cubicBezTo>
                              <a:cubicBezTo>
                                <a:pt x="2129" y="683"/>
                                <a:pt x="2122" y="710"/>
                                <a:pt x="2118" y="755"/>
                              </a:cubicBezTo>
                              <a:cubicBezTo>
                                <a:pt x="2114" y="800"/>
                                <a:pt x="2118" y="817"/>
                                <a:pt x="2118" y="864"/>
                              </a:cubicBezTo>
                              <a:cubicBezTo>
                                <a:pt x="2118" y="911"/>
                                <a:pt x="2118" y="944"/>
                                <a:pt x="2118" y="991"/>
                              </a:cubicBezTo>
                              <a:cubicBezTo>
                                <a:pt x="2118" y="1038"/>
                                <a:pt x="2118" y="1056"/>
                                <a:pt x="2118" y="1100"/>
                              </a:cubicBezTo>
                              <a:cubicBezTo>
                                <a:pt x="2118" y="1144"/>
                                <a:pt x="2120" y="1165"/>
                                <a:pt x="2118" y="1209"/>
                              </a:cubicBezTo>
                              <a:cubicBezTo>
                                <a:pt x="2116" y="1253"/>
                                <a:pt x="2116" y="1272"/>
                                <a:pt x="2109" y="1318"/>
                              </a:cubicBezTo>
                              <a:cubicBezTo>
                                <a:pt x="2102" y="1364"/>
                                <a:pt x="2091" y="1391"/>
                                <a:pt x="2082" y="1437"/>
                              </a:cubicBezTo>
                              <a:cubicBezTo>
                                <a:pt x="2073" y="1483"/>
                                <a:pt x="2068" y="1502"/>
                                <a:pt x="2064" y="1546"/>
                              </a:cubicBezTo>
                              <a:cubicBezTo>
                                <a:pt x="2060" y="1590"/>
                                <a:pt x="2066" y="1611"/>
                                <a:pt x="2064" y="1655"/>
                              </a:cubicBezTo>
                              <a:cubicBezTo>
                                <a:pt x="2062" y="1699"/>
                                <a:pt x="2058" y="1719"/>
                                <a:pt x="2054" y="1764"/>
                              </a:cubicBezTo>
                              <a:cubicBezTo>
                                <a:pt x="2050" y="1809"/>
                                <a:pt x="2049" y="1837"/>
                                <a:pt x="2045" y="1882"/>
                              </a:cubicBezTo>
                              <a:cubicBezTo>
                                <a:pt x="2041" y="1927"/>
                                <a:pt x="2043" y="1947"/>
                                <a:pt x="2036" y="1991"/>
                              </a:cubicBezTo>
                              <a:cubicBezTo>
                                <a:pt x="2029" y="2035"/>
                                <a:pt x="2036" y="2071"/>
                                <a:pt x="2009" y="2100"/>
                              </a:cubicBezTo>
                              <a:cubicBezTo>
                                <a:pt x="1982" y="2129"/>
                                <a:pt x="1951" y="2121"/>
                                <a:pt x="1900" y="2137"/>
                              </a:cubicBezTo>
                              <a:cubicBezTo>
                                <a:pt x="1849" y="2153"/>
                                <a:pt x="1805" y="2166"/>
                                <a:pt x="1754" y="2182"/>
                              </a:cubicBezTo>
                              <a:cubicBezTo>
                                <a:pt x="1703" y="2198"/>
                                <a:pt x="1689" y="2203"/>
                                <a:pt x="1645" y="2218"/>
                              </a:cubicBezTo>
                              <a:cubicBezTo>
                                <a:pt x="1601" y="2233"/>
                                <a:pt x="1580" y="2242"/>
                                <a:pt x="1536" y="2255"/>
                              </a:cubicBezTo>
                              <a:cubicBezTo>
                                <a:pt x="1492" y="2268"/>
                                <a:pt x="1471" y="2269"/>
                                <a:pt x="1427" y="2282"/>
                              </a:cubicBezTo>
                              <a:cubicBezTo>
                                <a:pt x="1383" y="2295"/>
                                <a:pt x="1362" y="2303"/>
                                <a:pt x="1318" y="2318"/>
                              </a:cubicBezTo>
                              <a:cubicBezTo>
                                <a:pt x="1274" y="2333"/>
                                <a:pt x="1253" y="2342"/>
                                <a:pt x="1209" y="2355"/>
                              </a:cubicBezTo>
                              <a:cubicBezTo>
                                <a:pt x="1165" y="2368"/>
                                <a:pt x="1144" y="2369"/>
                                <a:pt x="1100" y="2382"/>
                              </a:cubicBezTo>
                              <a:cubicBezTo>
                                <a:pt x="1056" y="2395"/>
                                <a:pt x="1035" y="2409"/>
                                <a:pt x="991" y="2418"/>
                              </a:cubicBezTo>
                              <a:cubicBezTo>
                                <a:pt x="947" y="2427"/>
                                <a:pt x="926" y="2421"/>
                                <a:pt x="882" y="2427"/>
                              </a:cubicBezTo>
                              <a:cubicBezTo>
                                <a:pt x="838" y="2433"/>
                                <a:pt x="813" y="2420"/>
                                <a:pt x="773" y="2446"/>
                              </a:cubicBezTo>
                              <a:cubicBezTo>
                                <a:pt x="733" y="2472"/>
                                <a:pt x="706" y="2511"/>
                                <a:pt x="682" y="2555"/>
                              </a:cubicBezTo>
                              <a:cubicBezTo>
                                <a:pt x="658" y="2599"/>
                                <a:pt x="665" y="2620"/>
                                <a:pt x="654" y="2664"/>
                              </a:cubicBezTo>
                              <a:cubicBezTo>
                                <a:pt x="643" y="2708"/>
                                <a:pt x="641" y="2729"/>
                                <a:pt x="627" y="2773"/>
                              </a:cubicBezTo>
                              <a:cubicBezTo>
                                <a:pt x="613" y="2817"/>
                                <a:pt x="598" y="2838"/>
                                <a:pt x="582" y="2882"/>
                              </a:cubicBezTo>
                              <a:cubicBezTo>
                                <a:pt x="566" y="2926"/>
                                <a:pt x="558" y="2947"/>
                                <a:pt x="545" y="2991"/>
                              </a:cubicBezTo>
                              <a:cubicBezTo>
                                <a:pt x="532" y="3035"/>
                                <a:pt x="545" y="3056"/>
                                <a:pt x="518" y="3100"/>
                              </a:cubicBezTo>
                              <a:cubicBezTo>
                                <a:pt x="491" y="3144"/>
                                <a:pt x="453" y="3176"/>
                                <a:pt x="409" y="3209"/>
                              </a:cubicBezTo>
                              <a:cubicBezTo>
                                <a:pt x="365" y="3242"/>
                                <a:pt x="344" y="3248"/>
                                <a:pt x="300" y="3264"/>
                              </a:cubicBezTo>
                              <a:cubicBezTo>
                                <a:pt x="256" y="3280"/>
                                <a:pt x="235" y="3276"/>
                                <a:pt x="191" y="3291"/>
                              </a:cubicBezTo>
                              <a:cubicBezTo>
                                <a:pt x="147" y="3306"/>
                                <a:pt x="113" y="3306"/>
                                <a:pt x="82" y="3337"/>
                              </a:cubicBezTo>
                              <a:cubicBezTo>
                                <a:pt x="51" y="3368"/>
                                <a:pt x="49" y="3401"/>
                                <a:pt x="36" y="3446"/>
                              </a:cubicBezTo>
                              <a:cubicBezTo>
                                <a:pt x="23" y="3491"/>
                                <a:pt x="25" y="3519"/>
                                <a:pt x="18" y="3564"/>
                              </a:cubicBezTo>
                              <a:cubicBezTo>
                                <a:pt x="11" y="3609"/>
                                <a:pt x="3" y="3654"/>
                                <a:pt x="0" y="3673"/>
                              </a:cubicBezTo>
                            </a:path>
                          </a:pathLst>
                        </a:custGeom>
                        <a:ln w="9525" cap="flat" cmpd="sng">
                          <a:solidFill>
                            <a:srgbClr val="FF0000"/>
                          </a:solidFill>
                          <a:prstDash val="solid"/>
                          <a:round/>
                          <a:headEnd type="none" w="med" len="med"/>
                          <a:tailEnd type="none" w="med" len="med"/>
                        </a:ln>
                      </wps:spPr>
                      <wps:bodyPr/>
                    </wps:wsp>
                  </a:graphicData>
                </a:graphic>
              </wp:anchor>
            </w:drawing>
          </mc:Choice>
          <mc:Fallback>
            <w:pict>
              <v:shape id="任意多边形 17" o:spid="_x0000_s1026" o:spt="100" style="position:absolute;left:0pt;margin-left:63.55pt;margin-top:45.6pt;height:183.65pt;width:126.8pt;z-index:251661312;mso-width-relative:page;mso-height-relative:page;" filled="f" stroked="t" coordsize="2536,3673" o:gfxdata="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" path="m2536,0c2513,6,2456,21,2409,37c2362,53,2340,51,2300,82c2260,113,2233,147,2209,191c2185,235,2189,256,2182,300c2175,344,2179,364,2173,409c2167,454,2161,481,2154,527c2147,573,2143,591,2136,637c2129,683,2122,710,2118,755c2114,800,2118,817,2118,864c2118,911,2118,944,2118,991c2118,1038,2118,1056,2118,1100c2118,1144,2120,1165,2118,1209c2116,1253,2116,1272,2109,1318c2102,1364,2091,1391,2082,1437c2073,1483,2068,1502,2064,1546c2060,1590,2066,1611,2064,1655c2062,1699,2058,1719,2054,1764c2050,1809,2049,1837,2045,1882c2041,1927,2043,1947,2036,1991c2029,2035,2036,2071,2009,2100c1982,2129,1951,2121,1900,2137c1849,2153,1805,2166,1754,2182c1703,2198,1689,2203,1645,2218c1601,2233,1580,2242,1536,2255c1492,2268,1471,2269,1427,2282c1383,2295,1362,2303,1318,2318c1274,2333,1253,2342,1209,2355c1165,2368,1144,2369,1100,2382c1056,2395,1035,2409,991,2418c947,2427,926,2421,882,2427c838,2433,813,2420,773,2446c733,2472,706,2511,682,2555c658,2599,665,2620,654,2664c643,2708,641,2729,627,2773c613,2817,598,2838,582,2882c566,2926,558,2947,545,2991c532,3035,545,3056,518,3100c491,3144,453,3176,409,3209c365,3242,344,3248,300,3264c256,3280,235,3276,191,3291c147,3306,113,3306,82,3337c51,3368,49,3401,36,3446c23,3491,25,3519,18,3564c11,3609,3,3654,0,3673e">
                <v:fill on="f" focussize="0,0"/>
                <v:stroke color="#FF0000" joinstyle="round"/>
                <v:imagedata o:title=""/>
                <o:lock v:ext="edit" aspectratio="f"/>
              </v:shape>
            </w:pict>
          </mc:Fallback>
        </mc:AlternateContent>
      </w:r>
      <w:r>
        <w:rPr>
          <w:sz w:val="24"/>
        </w:rPr>
        <mc:AlternateContent>
          <mc:Choice Requires="wps">
            <w:drawing>
              <wp:anchor distT="0" distB="0" distL="0" distR="0" simplePos="0" relativeHeight="251662336" behindDoc="0" locked="0" layoutInCell="1" allowOverlap="1">
                <wp:simplePos x="0" y="0"/>
                <wp:positionH relativeFrom="column">
                  <wp:posOffset>22225</wp:posOffset>
                </wp:positionH>
                <wp:positionV relativeFrom="paragraph">
                  <wp:posOffset>2518410</wp:posOffset>
                </wp:positionV>
                <wp:extent cx="669925" cy="254635"/>
                <wp:effectExtent l="4445" t="4445" r="138430" b="160020"/>
                <wp:wrapNone/>
                <wp:docPr id="1034" name="矩形标注 18"/>
                <wp:cNvGraphicFramePr/>
                <a:graphic xmlns:a="http://schemas.openxmlformats.org/drawingml/2006/main">
                  <a:graphicData uri="http://schemas.microsoft.com/office/word/2010/wordprocessingShape">
                    <wps:wsp>
                      <wps:cNvSpPr/>
                      <wps:spPr>
                        <a:xfrm>
                          <a:off x="0" y="0"/>
                          <a:ext cx="669925" cy="254635"/>
                        </a:xfrm>
                        <a:prstGeom prst="wedgeRectCallout">
                          <a:avLst>
                            <a:gd name="adj1" fmla="val 63713"/>
                            <a:gd name="adj2" fmla="val 101866"/>
                          </a:avLst>
                        </a:prstGeom>
                        <a:solidFill>
                          <a:srgbClr val="FFFFFF"/>
                        </a:solidFill>
                        <a:ln w="9525" cap="flat" cmpd="sng">
                          <a:solidFill>
                            <a:srgbClr val="FF0000"/>
                          </a:solidFill>
                          <a:prstDash val="solid"/>
                          <a:miter/>
                          <a:headEnd type="none" w="med" len="med"/>
                          <a:tailEnd type="none" w="med" len="med"/>
                        </a:ln>
                      </wps:spPr>
                      <wps:txbx>
                        <w:txbxContent>
                          <w:p>
                            <w:r>
                              <w:rPr>
                                <w:rFonts w:hint="eastAsia"/>
                              </w:rPr>
                              <w:t>传感器</w:t>
                            </w:r>
                          </w:p>
                        </w:txbxContent>
                      </wps:txbx>
                      <wps:bodyPr upright="1"/>
                    </wps:wsp>
                  </a:graphicData>
                </a:graphic>
              </wp:anchor>
            </w:drawing>
          </mc:Choice>
          <mc:Fallback>
            <w:pict>
              <v:shape id="矩形标注 18" o:spid="_x0000_s1026" o:spt="61" type="#_x0000_t61" style="position:absolute;left:0pt;margin-left:1.75pt;margin-top:198.3pt;height:20.05pt;width:52.75pt;z-index:251662336;mso-width-relative:page;mso-height-relative:page;" fillcolor="#FFFFFF" filled="t" stroked="t" coordsize="21600,21600" o:gfxdata="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UXFVdtYAAAAJAQAADwAAAAAAAAABACAAAAAiAAAAZHJzL2Rvd25y&#10;ZXYueG1sUEsBAhQAFAAAAAgAh07iQPts0sw5AgAAkAQAAA4AAAAAAAAAAQAgAAAAJQEAAGRycy9l&#10;Mm9Eb2MueG1sUEsFBgAAAAAGAAYAWQEAANAFAAAAAA==&#10;" adj="24562,32803">
                <v:fill on="t" focussize="0,0"/>
                <v:stroke color="#FF0000" joinstyle="miter"/>
                <v:imagedata o:title=""/>
                <o:lock v:ext="edit" aspectratio="f"/>
                <v:textbox>
                  <w:txbxContent>
                    <w:p>
                      <w:r>
                        <w:rPr>
                          <w:rFonts w:hint="eastAsia"/>
                        </w:rPr>
                        <w:t>传感器</w:t>
                      </w:r>
                    </w:p>
                  </w:txbxContent>
                </v:textbox>
              </v:shape>
            </w:pict>
          </mc:Fallback>
        </mc:AlternateContent>
      </w:r>
      <w:r>
        <w:drawing>
          <wp:inline distT="0" distB="0" distL="0" distR="0">
            <wp:extent cx="5297170" cy="3531870"/>
            <wp:effectExtent l="0" t="0" r="11430" b="11430"/>
            <wp:docPr id="1035" name="图片 12" descr="DJI_0907"/>
            <wp:cNvGraphicFramePr/>
            <a:graphic xmlns:a="http://schemas.openxmlformats.org/drawingml/2006/main">
              <a:graphicData uri="http://schemas.openxmlformats.org/drawingml/2006/picture">
                <pic:pic xmlns:pic="http://schemas.openxmlformats.org/drawingml/2006/picture">
                  <pic:nvPicPr>
                    <pic:cNvPr id="1035" name="图片 12" descr="DJI_0907"/>
                    <pic:cNvPicPr/>
                  </pic:nvPicPr>
                  <pic:blipFill>
                    <a:blip r:embed="rId11" cstate="print"/>
                    <a:srcRect/>
                    <a:stretch>
                      <a:fillRect/>
                    </a:stretch>
                  </pic:blipFill>
                  <pic:spPr>
                    <a:xfrm>
                      <a:off x="0" y="0"/>
                      <a:ext cx="5297170" cy="3531870"/>
                    </a:xfrm>
                    <a:prstGeom prst="rect">
                      <a:avLst/>
                    </a:prstGeom>
                    <a:ln>
                      <a:noFill/>
                    </a:ln>
                  </pic:spPr>
                </pic:pic>
              </a:graphicData>
            </a:graphic>
          </wp:inline>
        </w:drawing>
      </w:r>
    </w:p>
    <w:p>
      <w:pPr>
        <w:spacing w:line="440" w:lineRule="exact"/>
        <w:ind w:firstLine="480" w:firstLineChars="200"/>
        <w:jc w:val="center"/>
        <w:rPr>
          <w:rFonts w:hint="eastAsia"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图7  崖壁四芯线缆布设与连接</w:t>
      </w:r>
    </w:p>
    <w:p>
      <w:pPr>
        <w:spacing w:line="440" w:lineRule="exact"/>
        <w:ind w:firstLine="480" w:firstLineChars="200"/>
        <w:jc w:val="center"/>
        <w:rPr>
          <w:rFonts w:hint="eastAsia" w:ascii="方正仿宋_GBK" w:hAnsi="方正仿宋_GBK" w:eastAsia="方正仿宋_GBK" w:cs="方正仿宋_GBK"/>
          <w:bCs/>
          <w:color w:val="000000"/>
          <w:sz w:val="24"/>
          <w:szCs w:val="24"/>
        </w:rPr>
      </w:pPr>
    </w:p>
    <w:p>
      <w:pPr>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3、土建和安装工作内容及要求</w:t>
      </w:r>
    </w:p>
    <w:p>
      <w:pPr>
        <w:snapToGrid w:val="0"/>
        <w:spacing w:line="360" w:lineRule="auto"/>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本项目位于奉节县瞿塘峡段，监测点建设工期为 2 个月。设备将安装于瞿塘峡两岸的高陡岸坡区域，此区域施工环境复杂、存在较高风险、施工难度较大。土建和安装工作包括：材料采购及转运、设备安装、材料二次搬运及临时便道修筑等。需开展的劳务作业类型分为一般劳务作业和高空攀岩作业两类。土建安装施工流程务必严格依据设备安装设计方案执行，同时必须符合《重庆市地质灾害专业监测预警技术要求》（试行）（渝规资﹝2018﹞100号）、《城镇地质安全监测规范》DB50／T 1041-2020的相关规定。具体土建和安装工作内容及要求如下：</w:t>
      </w:r>
    </w:p>
    <w:p>
      <w:pPr>
        <w:snapToGrid w:val="0"/>
        <w:spacing w:line="360" w:lineRule="auto"/>
        <w:ind w:firstLine="560" w:firstLineChars="200"/>
        <w:rPr>
          <w:rFonts w:hint="eastAsia" w:ascii="仿宋_GB2312" w:hAnsi="仿宋_GB2312" w:eastAsia="仿宋_GB2312" w:cs="仿宋_GB2312"/>
          <w:kern w:val="0"/>
          <w:sz w:val="28"/>
          <w:szCs w:val="28"/>
        </w:rPr>
      </w:pPr>
    </w:p>
    <w:p>
      <w:pPr>
        <w:snapToGrid w:val="0"/>
        <w:spacing w:line="360" w:lineRule="auto"/>
        <w:ind w:firstLine="560" w:firstLineChars="200"/>
        <w:rPr>
          <w:rFonts w:hint="eastAsia" w:ascii="仿宋_GB2312" w:hAnsi="仿宋_GB2312" w:eastAsia="仿宋_GB2312" w:cs="仿宋_GB2312"/>
          <w:kern w:val="0"/>
          <w:sz w:val="28"/>
          <w:szCs w:val="28"/>
        </w:rPr>
      </w:pPr>
    </w:p>
    <w:p>
      <w:pPr>
        <w:snapToGrid w:val="0"/>
        <w:spacing w:line="360" w:lineRule="auto"/>
        <w:ind w:firstLine="560" w:firstLineChars="200"/>
        <w:rPr>
          <w:rFonts w:hint="eastAsia" w:ascii="仿宋_GB2312" w:hAnsi="仿宋_GB2312" w:eastAsia="仿宋_GB2312" w:cs="仿宋_GB2312"/>
          <w:kern w:val="0"/>
          <w:sz w:val="28"/>
          <w:szCs w:val="28"/>
        </w:rPr>
      </w:pPr>
    </w:p>
    <w:tbl>
      <w:tblPr>
        <w:tblStyle w:val="14"/>
        <w:tblW w:w="4906" w:type="pct"/>
        <w:tblInd w:w="0" w:type="dxa"/>
        <w:tblLayout w:type="fixed"/>
        <w:tblCellMar>
          <w:top w:w="0" w:type="dxa"/>
          <w:left w:w="108" w:type="dxa"/>
          <w:bottom w:w="0" w:type="dxa"/>
          <w:right w:w="108" w:type="dxa"/>
        </w:tblCellMar>
      </w:tblPr>
      <w:tblGrid>
        <w:gridCol w:w="646"/>
        <w:gridCol w:w="2153"/>
        <w:gridCol w:w="720"/>
        <w:gridCol w:w="943"/>
        <w:gridCol w:w="3900"/>
      </w:tblGrid>
      <w:tr>
        <w:tblPrEx>
          <w:tblCellMar>
            <w:top w:w="0" w:type="dxa"/>
            <w:left w:w="108" w:type="dxa"/>
            <w:bottom w:w="0" w:type="dxa"/>
            <w:right w:w="108" w:type="dxa"/>
          </w:tblCellMar>
        </w:tblPrEx>
        <w:trPr>
          <w:trHeight w:val="620"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序号</w:t>
            </w:r>
          </w:p>
        </w:tc>
        <w:tc>
          <w:tcPr>
            <w:tcW w:w="12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安装项目</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单位</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数量</w:t>
            </w:r>
          </w:p>
        </w:tc>
        <w:tc>
          <w:tcPr>
            <w:tcW w:w="23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安装工作内容</w:t>
            </w:r>
          </w:p>
        </w:tc>
      </w:tr>
      <w:tr>
        <w:tblPrEx>
          <w:tblCellMar>
            <w:top w:w="0" w:type="dxa"/>
            <w:left w:w="108" w:type="dxa"/>
            <w:bottom w:w="0" w:type="dxa"/>
            <w:right w:w="108" w:type="dxa"/>
          </w:tblCellMar>
        </w:tblPrEx>
        <w:trPr>
          <w:trHeight w:val="2179"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1</w:t>
            </w:r>
          </w:p>
        </w:tc>
        <w:tc>
          <w:tcPr>
            <w:tcW w:w="12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裂缝计安装（含主机、预埋件、立柱、太阳能板、蓄电池等全套设备安装、调试及安装措施）</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eastAsia" w:ascii="方正仿宋_GBK" w:hAnsi="方正仿宋_GBK" w:eastAsia="方正仿宋_GBK" w:cs="方正仿宋_GBK"/>
                <w:szCs w:val="21"/>
                <w:lang w:eastAsia="zh-CN"/>
              </w:rPr>
            </w:pPr>
            <w:r>
              <w:rPr>
                <w:rFonts w:hint="eastAsia" w:ascii="方正仿宋_GBK" w:hAnsi="方正仿宋_GBK" w:eastAsia="方正仿宋_GBK" w:cs="方正仿宋_GBK"/>
                <w:kern w:val="0"/>
                <w:szCs w:val="21"/>
                <w:lang w:val="en-US" w:eastAsia="zh-CN"/>
              </w:rPr>
              <w:t>套</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18</w:t>
            </w:r>
          </w:p>
        </w:tc>
        <w:tc>
          <w:tcPr>
            <w:tcW w:w="23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spacing w:line="300" w:lineRule="exact"/>
              <w:textAlignment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kern w:val="0"/>
                <w:szCs w:val="21"/>
              </w:rPr>
              <w:t>高空攀岩作业：攀岩SRT绳降点布置，崖壁传感器安装；裂缝计采用钢管横跨危岩体裂缝以减少外力对裂缝计拉线的影响，详见图4所示；</w:t>
            </w:r>
            <w:r>
              <w:rPr>
                <w:rFonts w:hint="eastAsia" w:ascii="方正仿宋_GBK" w:hAnsi="方正仿宋_GBK" w:eastAsia="方正仿宋_GBK" w:cs="方正仿宋_GBK"/>
                <w:kern w:val="0"/>
                <w:szCs w:val="21"/>
              </w:rPr>
              <w:br w:type="textWrapping"/>
            </w:r>
            <w:r>
              <w:rPr>
                <w:rFonts w:hint="eastAsia" w:ascii="方正仿宋_GBK" w:hAnsi="方正仿宋_GBK" w:eastAsia="方正仿宋_GBK" w:cs="方正仿宋_GBK"/>
                <w:color w:val="000000" w:themeColor="text1"/>
                <w:kern w:val="0"/>
                <w:szCs w:val="21"/>
                <w14:textFill>
                  <w14:solidFill>
                    <w14:schemeClr w14:val="tx1"/>
                  </w14:solidFill>
                </w14:textFill>
              </w:rPr>
              <w:t>2.高空攀岩作业：崖壁管线开槽和布设；</w:t>
            </w:r>
            <w:r>
              <w:rPr>
                <w:rFonts w:hint="eastAsia" w:ascii="方正仿宋_GBK" w:hAnsi="方正仿宋_GBK" w:eastAsia="方正仿宋_GBK" w:cs="方正仿宋_GBK"/>
                <w:color w:val="000000" w:themeColor="text1"/>
                <w:kern w:val="0"/>
                <w:szCs w:val="21"/>
                <w14:textFill>
                  <w14:solidFill>
                    <w14:schemeClr w14:val="tx1"/>
                  </w14:solidFill>
                </w14:textFill>
              </w:rPr>
              <w:br w:type="textWrapping"/>
            </w:r>
            <w:r>
              <w:rPr>
                <w:rFonts w:hint="eastAsia" w:ascii="方正仿宋_GBK" w:hAnsi="方正仿宋_GBK" w:eastAsia="方正仿宋_GBK" w:cs="方正仿宋_GBK"/>
                <w:color w:val="000000" w:themeColor="text1"/>
                <w:szCs w:val="21"/>
                <w14:textFill>
                  <w14:solidFill>
                    <w14:schemeClr w14:val="tx1"/>
                  </w14:solidFill>
                </w14:textFill>
              </w:rPr>
              <w:t>3.一般劳务作业：穿管线；供电系统及设备安装。</w:t>
            </w:r>
          </w:p>
          <w:p>
            <w:pPr>
              <w:widowControl/>
              <w:numPr>
                <w:ilvl w:val="0"/>
                <w:numId w:val="0"/>
              </w:numPr>
              <w:spacing w:line="300" w:lineRule="exact"/>
              <w:textAlignment w:val="center"/>
              <w:rPr>
                <w:rFonts w:hint="default" w:ascii="方正仿宋_GBK" w:hAnsi="方正仿宋_GBK" w:eastAsia="方正仿宋_GBK" w:cs="方正仿宋_GBK"/>
                <w:szCs w:val="21"/>
                <w:lang w:val="en-US" w:eastAsia="zh-CN"/>
              </w:rPr>
            </w:pPr>
            <w:r>
              <w:rPr>
                <w:rFonts w:hint="eastAsia" w:ascii="方正仿宋_GBK" w:hAnsi="方正仿宋_GBK" w:eastAsia="方正仿宋_GBK" w:cs="方正仿宋_GBK"/>
                <w:color w:val="000000" w:themeColor="text1"/>
                <w:szCs w:val="21"/>
                <w:lang w:val="en-US" w:eastAsia="zh-CN"/>
                <w14:textFill>
                  <w14:solidFill>
                    <w14:schemeClr w14:val="tx1"/>
                  </w14:solidFill>
                </w14:textFill>
              </w:rPr>
              <w:t>4.</w:t>
            </w:r>
            <w:r>
              <w:rPr>
                <w:rFonts w:hint="eastAsia" w:ascii="方正仿宋_GBK" w:hAnsi="方正仿宋_GBK" w:eastAsia="方正仿宋_GBK" w:cs="方正仿宋_GBK"/>
                <w:color w:val="000000" w:themeColor="text1"/>
                <w:szCs w:val="21"/>
                <w14:textFill>
                  <w14:solidFill>
                    <w14:schemeClr w14:val="tx1"/>
                  </w14:solidFill>
                </w14:textFill>
              </w:rPr>
              <w:t>一般劳务作业：</w:t>
            </w:r>
            <w:r>
              <w:rPr>
                <w:rFonts w:hint="eastAsia" w:ascii="方正仿宋_GBK" w:hAnsi="方正仿宋_GBK" w:eastAsia="方正仿宋_GBK" w:cs="方正仿宋_GBK"/>
                <w:color w:val="000000" w:themeColor="text1"/>
                <w:szCs w:val="21"/>
                <w:lang w:val="en-US" w:eastAsia="zh-CN"/>
                <w14:textFill>
                  <w14:solidFill>
                    <w14:schemeClr w14:val="tx1"/>
                  </w14:solidFill>
                </w14:textFill>
              </w:rPr>
              <w:t>狮子包危岩需新建2根规格为高3米，管径114mm的立杆。</w:t>
            </w:r>
          </w:p>
        </w:tc>
      </w:tr>
      <w:tr>
        <w:tblPrEx>
          <w:tblCellMar>
            <w:top w:w="0" w:type="dxa"/>
            <w:left w:w="108" w:type="dxa"/>
            <w:bottom w:w="0" w:type="dxa"/>
            <w:right w:w="108" w:type="dxa"/>
          </w:tblCellMar>
        </w:tblPrEx>
        <w:trPr>
          <w:trHeight w:val="1229"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2</w:t>
            </w:r>
          </w:p>
        </w:tc>
        <w:tc>
          <w:tcPr>
            <w:tcW w:w="12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应力仪器安装（含主机、预埋件、立柱、太阳能板、蓄电池等全套设备安装、调试及安装措施）</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eastAsia" w:ascii="方正仿宋_GBK" w:hAnsi="方正仿宋_GBK" w:eastAsia="方正仿宋_GBK" w:cs="方正仿宋_GBK"/>
                <w:szCs w:val="21"/>
                <w:lang w:eastAsia="zh-CN"/>
              </w:rPr>
            </w:pPr>
            <w:r>
              <w:rPr>
                <w:rFonts w:hint="eastAsia" w:ascii="方正仿宋_GBK" w:hAnsi="方正仿宋_GBK" w:eastAsia="方正仿宋_GBK" w:cs="方正仿宋_GBK"/>
                <w:kern w:val="0"/>
                <w:szCs w:val="21"/>
                <w:lang w:val="en-US" w:eastAsia="zh-CN"/>
              </w:rPr>
              <w:t>套</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7</w:t>
            </w:r>
          </w:p>
        </w:tc>
        <w:tc>
          <w:tcPr>
            <w:tcW w:w="23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abs>
                <w:tab w:val="left" w:pos="312"/>
              </w:tabs>
              <w:spacing w:line="300" w:lineRule="exact"/>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1.高空攀岩作业：攀岩SRT绳降点布置，应力计反力支架采用岩壁凿孔（深度不少于50cm）安装I25工字钢并焊接钢管支撑，传感器安装，详见图5所示；</w:t>
            </w:r>
            <w:r>
              <w:rPr>
                <w:rFonts w:hint="eastAsia" w:ascii="方正仿宋_GBK" w:hAnsi="方正仿宋_GBK" w:eastAsia="方正仿宋_GBK" w:cs="方正仿宋_GBK"/>
                <w:szCs w:val="21"/>
              </w:rPr>
              <w:br w:type="textWrapping"/>
            </w:r>
            <w:r>
              <w:rPr>
                <w:rFonts w:hint="eastAsia" w:ascii="方正仿宋_GBK" w:hAnsi="方正仿宋_GBK" w:eastAsia="方正仿宋_GBK" w:cs="方正仿宋_GBK"/>
                <w:szCs w:val="21"/>
              </w:rPr>
              <w:t>2.高空攀岩作业：崖壁管线开槽和布设；</w:t>
            </w:r>
          </w:p>
          <w:p>
            <w:pPr>
              <w:widowControl/>
              <w:spacing w:line="300" w:lineRule="exact"/>
              <w:textAlignment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3.一般劳务作业：穿管线；供电系统及设备安装。</w:t>
            </w:r>
          </w:p>
        </w:tc>
      </w:tr>
    </w:tbl>
    <w:p>
      <w:pPr>
        <w:snapToGrid w:val="0"/>
        <w:spacing w:line="360" w:lineRule="auto"/>
        <w:ind w:firstLine="560" w:firstLineChars="200"/>
        <w:rPr>
          <w:rFonts w:hint="eastAsia" w:ascii="仿宋_GB2312" w:hAnsi="仿宋_GB2312" w:eastAsia="仿宋_GB2312" w:cs="仿宋_GB2312"/>
          <w:kern w:val="0"/>
          <w:sz w:val="28"/>
          <w:szCs w:val="28"/>
        </w:rPr>
      </w:pPr>
    </w:p>
    <w:p>
      <w:pPr>
        <w:snapToGrid w:val="0"/>
        <w:spacing w:line="360" w:lineRule="auto"/>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4、设备质保与维护要求</w:t>
      </w:r>
    </w:p>
    <w:p>
      <w:pPr>
        <w:snapToGrid w:val="0"/>
        <w:spacing w:line="360" w:lineRule="auto"/>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采用设备质保期为五年，在运行期须保障设备在线率100%，设备数据正常。运行期间设备异常或掉线，设备</w:t>
      </w:r>
      <w:r>
        <w:rPr>
          <w:rFonts w:hint="eastAsia" w:ascii="仿宋_GB2312" w:hAnsi="仿宋_GB2312" w:eastAsia="仿宋_GB2312" w:cs="仿宋_GB2312"/>
          <w:kern w:val="0"/>
          <w:sz w:val="28"/>
          <w:szCs w:val="28"/>
          <w:lang w:val="en-US" w:eastAsia="zh-CN"/>
        </w:rPr>
        <w:t>供应</w:t>
      </w:r>
      <w:r>
        <w:rPr>
          <w:rFonts w:hint="eastAsia" w:ascii="仿宋_GB2312" w:hAnsi="仿宋_GB2312" w:eastAsia="仿宋_GB2312" w:cs="仿宋_GB2312"/>
          <w:kern w:val="0"/>
          <w:sz w:val="28"/>
          <w:szCs w:val="28"/>
        </w:rPr>
        <w:t>商应安排工作人员并视情况委托高空攀岩作业专业人员进行现场排查和维修，保障设备在线率和数据正常。</w:t>
      </w:r>
    </w:p>
    <w:p>
      <w:pPr>
        <w:pStyle w:val="7"/>
        <w:spacing w:line="360" w:lineRule="auto"/>
        <w:rPr>
          <w:rFonts w:hint="eastAsia" w:ascii="仿宋_GB2312" w:hAnsi="仿宋_GB2312" w:eastAsia="仿宋_GB2312" w:cs="仿宋_GB2312"/>
          <w:b/>
          <w:bCs/>
          <w:color w:val="000000" w:themeColor="text1"/>
          <w:kern w:val="0"/>
          <w:sz w:val="28"/>
          <w:szCs w:val="28"/>
          <w14:textFill>
            <w14:solidFill>
              <w14:schemeClr w14:val="tx1"/>
            </w14:solidFill>
          </w14:textFill>
        </w:rPr>
      </w:pPr>
      <w:r>
        <w:rPr>
          <w:rFonts w:hint="eastAsia" w:ascii="仿宋_GB2312" w:hAnsi="仿宋_GB2312" w:eastAsia="仿宋_GB2312" w:cs="仿宋_GB2312"/>
          <w:b/>
          <w:bCs/>
          <w:color w:val="FF0000"/>
          <w:kern w:val="0"/>
          <w:sz w:val="28"/>
          <w:szCs w:val="28"/>
        </w:rPr>
        <w:t xml:space="preserve">   </w:t>
      </w:r>
      <w:r>
        <w:rPr>
          <w:rFonts w:hint="eastAsia" w:ascii="仿宋_GB2312" w:hAnsi="仿宋_GB2312" w:eastAsia="仿宋_GB2312" w:cs="仿宋_GB2312"/>
          <w:b/>
          <w:bCs/>
          <w:color w:val="000000" w:themeColor="text1"/>
          <w:kern w:val="0"/>
          <w:sz w:val="28"/>
          <w:szCs w:val="28"/>
          <w14:textFill>
            <w14:solidFill>
              <w14:schemeClr w14:val="tx1"/>
            </w14:solidFill>
          </w14:textFill>
        </w:rPr>
        <w:t xml:space="preserve"> 四、供应商资格要求</w:t>
      </w:r>
    </w:p>
    <w:p>
      <w:pPr>
        <w:adjustRightInd w:val="0"/>
        <w:snapToGrid w:val="0"/>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1、须为小微企业（提供声明函，格式见报价书）；</w:t>
      </w:r>
    </w:p>
    <w:p>
      <w:pPr>
        <w:adjustRightInd w:val="0"/>
        <w:snapToGrid w:val="0"/>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2、具备独立的企业法人资格，具备有效的营业执照，未处于被责令停业、或被取消投标资格、财产被接管、冻结、破产等状态；</w:t>
      </w:r>
    </w:p>
    <w:p>
      <w:pPr>
        <w:pStyle w:val="5"/>
        <w:ind w:firstLine="560" w:firstLineChars="200"/>
        <w:rPr>
          <w:rFonts w:hint="eastAsia" w:ascii="仿宋_GB2312" w:hAnsi="仿宋_GB2312" w:eastAsia="仿宋_GB2312" w:cs="仿宋_GB2312"/>
          <w:color w:val="FF0000"/>
          <w:sz w:val="28"/>
          <w:szCs w:val="28"/>
          <w:lang w:eastAsia="zh-CN"/>
        </w:rPr>
      </w:pPr>
      <w:r>
        <w:rPr>
          <w:rFonts w:hint="eastAsia" w:ascii="仿宋_GB2312" w:hAnsi="仿宋_GB2312" w:eastAsia="仿宋_GB2312" w:cs="仿宋_GB2312"/>
          <w:color w:val="000000" w:themeColor="text1"/>
          <w:sz w:val="28"/>
          <w:szCs w:val="28"/>
          <w14:textFill>
            <w14:solidFill>
              <w14:schemeClr w14:val="tx1"/>
            </w14:solidFill>
          </w14:textFill>
        </w:rPr>
        <w:t>3、满足《中华人民共和国政府采购法》第二十二条规定</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p>
    <w:p>
      <w:pPr>
        <w:pStyle w:val="13"/>
        <w:spacing w:line="360" w:lineRule="auto"/>
        <w:ind w:firstLine="560"/>
        <w:rPr>
          <w:rFonts w:hint="eastAsia" w:ascii="仿宋_GB2312" w:hAnsi="仿宋_GB2312" w:eastAsia="仿宋_GB2312" w:cs="仿宋_GB2312"/>
          <w:kern w:val="0"/>
          <w:sz w:val="28"/>
          <w:szCs w:val="28"/>
        </w:rPr>
      </w:pPr>
      <w:r>
        <w:rPr>
          <w:rFonts w:hint="eastAsia" w:ascii="仿宋_GB2312" w:hAnsi="仿宋_GB2312" w:eastAsia="仿宋_GB2312" w:cs="仿宋_GB2312"/>
          <w:bCs w:val="0"/>
          <w:kern w:val="0"/>
          <w:sz w:val="28"/>
          <w:szCs w:val="28"/>
        </w:rPr>
        <w:t>4、</w:t>
      </w:r>
      <w:r>
        <w:rPr>
          <w:rFonts w:hint="eastAsia" w:ascii="仿宋_GB2312" w:hAnsi="仿宋_GB2312" w:eastAsia="仿宋_GB2312" w:cs="仿宋_GB2312"/>
          <w:kern w:val="0"/>
          <w:sz w:val="28"/>
          <w:szCs w:val="28"/>
        </w:rPr>
        <w:t>设备供应商须承诺土建安装的一般劳务作业委托具备安全生产许可证资格证书的劳务公司承担，并提供承诺书和拟合作劳务公司的营业执照、安全生产许可证等相关资料；</w:t>
      </w:r>
    </w:p>
    <w:p>
      <w:pPr>
        <w:pStyle w:val="13"/>
        <w:spacing w:line="360" w:lineRule="auto"/>
        <w:ind w:firstLine="560"/>
        <w:rPr>
          <w:rFonts w:hint="eastAsia"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rPr>
        <w:t>5、设备供应商须承诺土建安装的</w:t>
      </w:r>
      <w:r>
        <w:rPr>
          <w:rFonts w:hint="eastAsia" w:ascii="仿宋_GB2312" w:hAnsi="仿宋_GB2312" w:eastAsia="仿宋_GB2312" w:cs="仿宋_GB2312"/>
          <w:bCs w:val="0"/>
          <w:kern w:val="0"/>
          <w:sz w:val="28"/>
          <w:szCs w:val="28"/>
        </w:rPr>
        <w:t>高空攀岩作业</w:t>
      </w:r>
      <w:r>
        <w:rPr>
          <w:rFonts w:hint="eastAsia" w:ascii="仿宋_GB2312" w:hAnsi="仿宋_GB2312" w:eastAsia="仿宋_GB2312" w:cs="仿宋_GB2312"/>
          <w:kern w:val="0"/>
          <w:sz w:val="28"/>
          <w:szCs w:val="28"/>
        </w:rPr>
        <w:t>委托具体相应作业能力的专业攀岩调查公司承担，公司营业执照范围须包括“攀岩”或“高空作业”等内容，并提供承诺书和拟合作攀岩调查公司的营业执照</w:t>
      </w:r>
      <w:r>
        <w:rPr>
          <w:rFonts w:hint="eastAsia" w:ascii="仿宋_GB2312" w:hAnsi="仿宋_GB2312" w:eastAsia="仿宋_GB2312" w:cs="仿宋_GB2312"/>
          <w:kern w:val="0"/>
          <w:sz w:val="28"/>
          <w:szCs w:val="28"/>
          <w:lang w:eastAsia="zh-CN"/>
        </w:rPr>
        <w:t>。</w:t>
      </w:r>
    </w:p>
    <w:p>
      <w:pPr>
        <w:pStyle w:val="5"/>
        <w:ind w:firstLine="562" w:firstLineChars="200"/>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五、商务要求</w:t>
      </w:r>
    </w:p>
    <w:p>
      <w:pPr>
        <w:pStyle w:val="5"/>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（一）设备供应商基本要求</w:t>
      </w:r>
    </w:p>
    <w:p>
      <w:pPr>
        <w:pStyle w:val="13"/>
        <w:spacing w:line="360" w:lineRule="auto"/>
        <w:ind w:firstLine="560"/>
        <w:rPr>
          <w:rFonts w:hint="eastAsia" w:ascii="仿宋_GB2312" w:hAnsi="仿宋_GB2312" w:eastAsia="仿宋_GB2312" w:cs="仿宋_GB2312"/>
          <w:bCs w:val="0"/>
          <w:kern w:val="0"/>
          <w:sz w:val="28"/>
          <w:szCs w:val="28"/>
        </w:rPr>
      </w:pPr>
      <w:r>
        <w:rPr>
          <w:rFonts w:hint="eastAsia" w:ascii="仿宋_GB2312" w:hAnsi="仿宋_GB2312" w:eastAsia="仿宋_GB2312" w:cs="仿宋_GB2312"/>
          <w:bCs w:val="0"/>
          <w:kern w:val="0"/>
          <w:sz w:val="28"/>
          <w:szCs w:val="28"/>
        </w:rPr>
        <w:t>1、因本项目所需2类设备均为传感器类监测设备，不接受设备供应商组建联合体参与设备遴选；</w:t>
      </w:r>
    </w:p>
    <w:p>
      <w:pPr>
        <w:pStyle w:val="13"/>
        <w:spacing w:line="360" w:lineRule="auto"/>
        <w:ind w:firstLine="560"/>
        <w:rPr>
          <w:rFonts w:hint="eastAsia"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rPr>
        <w:t>2、设备供应商须按照采购人要求安排足够人员在约定时间内完成全部工作内容，项目验收标准为通过“三峡库区奉节县长江瞿塘峡段地质灾害专业监测预警项目”项目业主单位验收</w:t>
      </w:r>
      <w:r>
        <w:rPr>
          <w:rFonts w:hint="eastAsia" w:ascii="仿宋_GB2312" w:hAnsi="仿宋_GB2312" w:eastAsia="仿宋_GB2312" w:cs="仿宋_GB2312"/>
          <w:kern w:val="0"/>
          <w:sz w:val="28"/>
          <w:szCs w:val="28"/>
          <w:lang w:eastAsia="zh-CN"/>
        </w:rPr>
        <w:t>；</w:t>
      </w:r>
    </w:p>
    <w:p>
      <w:pPr>
        <w:pStyle w:val="13"/>
        <w:spacing w:line="360" w:lineRule="auto"/>
        <w:ind w:firstLine="560"/>
        <w:rPr>
          <w:rFonts w:hint="eastAsia"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rPr>
        <w:t>3、设备供应商保证对设备、数据维护和系统免费升级的保质期为五年，并提供质保期承诺书</w:t>
      </w:r>
      <w:r>
        <w:rPr>
          <w:rFonts w:hint="eastAsia" w:ascii="仿宋_GB2312" w:hAnsi="仿宋_GB2312" w:eastAsia="仿宋_GB2312" w:cs="仿宋_GB2312"/>
          <w:kern w:val="0"/>
          <w:sz w:val="28"/>
          <w:szCs w:val="28"/>
          <w:lang w:eastAsia="zh-CN"/>
        </w:rPr>
        <w:t>；</w:t>
      </w:r>
    </w:p>
    <w:p>
      <w:pPr>
        <w:pStyle w:val="13"/>
        <w:spacing w:line="360" w:lineRule="auto"/>
        <w:ind w:firstLine="56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lang w:val="en-US" w:eastAsia="zh-CN"/>
        </w:rPr>
        <w:t>4、设备供应商</w:t>
      </w:r>
      <w:r>
        <w:rPr>
          <w:rFonts w:hint="eastAsia" w:ascii="仿宋_GB2312" w:hAnsi="仿宋_GB2312" w:eastAsia="仿宋_GB2312" w:cs="仿宋_GB2312"/>
          <w:kern w:val="0"/>
          <w:sz w:val="28"/>
          <w:szCs w:val="28"/>
        </w:rPr>
        <w:t>承诺在中选后为本项目</w:t>
      </w:r>
      <w:r>
        <w:rPr>
          <w:rFonts w:hint="eastAsia" w:ascii="仿宋_GB2312" w:hAnsi="仿宋_GB2312" w:eastAsia="仿宋_GB2312" w:cs="仿宋_GB2312"/>
          <w:kern w:val="0"/>
          <w:sz w:val="28"/>
          <w:szCs w:val="28"/>
          <w:lang w:val="en-US" w:eastAsia="zh-CN"/>
        </w:rPr>
        <w:t>设备安装</w:t>
      </w:r>
      <w:r>
        <w:rPr>
          <w:rFonts w:hint="eastAsia" w:ascii="仿宋_GB2312" w:hAnsi="仿宋_GB2312" w:eastAsia="仿宋_GB2312" w:cs="仿宋_GB2312"/>
          <w:kern w:val="0"/>
          <w:sz w:val="28"/>
          <w:szCs w:val="28"/>
        </w:rPr>
        <w:t>现场管理</w:t>
      </w:r>
      <w:r>
        <w:rPr>
          <w:rFonts w:hint="eastAsia" w:ascii="仿宋_GB2312" w:hAnsi="仿宋_GB2312" w:eastAsia="仿宋_GB2312" w:cs="仿宋_GB2312"/>
          <w:kern w:val="0"/>
          <w:sz w:val="28"/>
          <w:szCs w:val="28"/>
          <w:lang w:val="en-US" w:eastAsia="zh-CN"/>
        </w:rPr>
        <w:t>人员</w:t>
      </w:r>
      <w:r>
        <w:rPr>
          <w:rFonts w:hint="eastAsia" w:ascii="仿宋_GB2312" w:hAnsi="仿宋_GB2312" w:eastAsia="仿宋_GB2312" w:cs="仿宋_GB2312"/>
          <w:kern w:val="0"/>
          <w:sz w:val="28"/>
          <w:szCs w:val="28"/>
        </w:rPr>
        <w:t>及一般作业人员购买保额不低于100万/人的雇主责任险。 </w:t>
      </w:r>
    </w:p>
    <w:p>
      <w:pPr>
        <w:pStyle w:val="13"/>
        <w:spacing w:line="360" w:lineRule="auto"/>
        <w:ind w:firstLine="56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（二）业绩要求</w:t>
      </w:r>
    </w:p>
    <w:p>
      <w:pPr>
        <w:pStyle w:val="13"/>
        <w:spacing w:line="360" w:lineRule="auto"/>
        <w:ind w:firstLine="56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设备供应商须提供2022年1月1日至今，至少1个地质灾害专业监测预警类项目设备供货或技术服务类业绩，技术服务类业绩所使用的设备必须为设备供应商自有品牌设备，并提供合同和发票复印件，原件备查。</w:t>
      </w:r>
    </w:p>
    <w:p>
      <w:pPr>
        <w:pStyle w:val="13"/>
        <w:spacing w:line="360" w:lineRule="auto"/>
        <w:ind w:firstLine="56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（三）支付方式</w:t>
      </w:r>
    </w:p>
    <w:p>
      <w:pPr>
        <w:adjustRightInd w:val="0"/>
        <w:snapToGrid w:val="0"/>
        <w:spacing w:line="360" w:lineRule="auto"/>
        <w:ind w:firstLine="548" w:firstLineChars="196"/>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1、第一笔款项支付：合同签订且</w:t>
      </w:r>
      <w:r>
        <w:rPr>
          <w:rFonts w:hint="eastAsia" w:ascii="仿宋_GB2312" w:hAnsi="仿宋_GB2312" w:eastAsia="仿宋_GB2312" w:cs="仿宋_GB2312"/>
          <w:sz w:val="28"/>
          <w:szCs w:val="28"/>
        </w:rPr>
        <w:t>我院</w:t>
      </w:r>
      <w:r>
        <w:rPr>
          <w:rFonts w:hint="eastAsia" w:ascii="仿宋_GB2312" w:hAnsi="仿宋_GB2312" w:eastAsia="仿宋_GB2312" w:cs="仿宋_GB2312"/>
          <w:kern w:val="0"/>
          <w:sz w:val="28"/>
          <w:szCs w:val="28"/>
        </w:rPr>
        <w:t>在收到项目建设单位拨付的首笔50%进度款后，设备供应商须完成设备抽检工作，待抽检合格并向我院提供等额增值税专用发票，我院将依据合同暂定预估金额的50%向设备供应商支付首笔款项。</w:t>
      </w:r>
    </w:p>
    <w:p>
      <w:pPr>
        <w:adjustRightInd w:val="0"/>
        <w:snapToGrid w:val="0"/>
        <w:spacing w:line="360" w:lineRule="auto"/>
        <w:ind w:firstLine="548" w:firstLineChars="196"/>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2、第二笔款项支付：设备供应商须严格按照要求完成现场全部土建和安装工作，经项目业主与</w:t>
      </w:r>
      <w:r>
        <w:rPr>
          <w:rFonts w:hint="eastAsia" w:ascii="仿宋_GB2312" w:hAnsi="仿宋_GB2312" w:eastAsia="仿宋_GB2312" w:cs="仿宋_GB2312"/>
          <w:kern w:val="0"/>
          <w:sz w:val="28"/>
          <w:szCs w:val="28"/>
          <w:lang w:val="en-US" w:eastAsia="zh-CN"/>
        </w:rPr>
        <w:t>重庆</w:t>
      </w:r>
      <w:r>
        <w:rPr>
          <w:rFonts w:hint="eastAsia" w:ascii="仿宋_GB2312" w:hAnsi="仿宋_GB2312" w:eastAsia="仿宋_GB2312" w:cs="仿宋_GB2312"/>
          <w:kern w:val="0"/>
          <w:sz w:val="28"/>
          <w:szCs w:val="28"/>
        </w:rPr>
        <w:t>市地环总站验收合格，且项目建设单位出具项目验收合格报告后，依据实际工作量完成验收与结算流程。待我院收到项目建设单位拨付的第二笔进度款，同时设备供应商提供等额增值税专用发票，我院向设备供应商支付至合同结算金额的80%。</w:t>
      </w:r>
    </w:p>
    <w:p>
      <w:pPr>
        <w:adjustRightInd w:val="0"/>
        <w:snapToGrid w:val="0"/>
        <w:spacing w:line="360" w:lineRule="auto"/>
        <w:ind w:firstLine="548" w:firstLineChars="196"/>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第三笔款项支付：设备供应商按要求完成所有监测预警设备的现场调试，并确保设备与重庆市地质灾害防治综合信息系统实现互联互通。待我院收到项目建设单位拨付的第三笔进度款，设备供应商提供等额增值税专用发票，我院向设备供应商支付至合同结算金额的90%。</w:t>
      </w:r>
    </w:p>
    <w:p>
      <w:pPr>
        <w:adjustRightInd w:val="0"/>
        <w:snapToGrid w:val="0"/>
        <w:spacing w:line="360" w:lineRule="auto"/>
        <w:ind w:firstLine="548" w:firstLineChars="196"/>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4、质保金支付：合同结算金额的10%将作为质保金留存，质保期为5 年。在质保期满3年且设备供应商切实履行该期间质保义务前提下，我院支付质保金的45%；质保期满5年且设备供应商切实履行该期间质保义务后，我院支付质保金的55%。</w:t>
      </w:r>
    </w:p>
    <w:p>
      <w:pPr>
        <w:adjustRightInd w:val="0"/>
        <w:snapToGrid w:val="0"/>
        <w:spacing w:line="360" w:lineRule="auto"/>
        <w:ind w:firstLine="551" w:firstLineChars="196"/>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六、报价要求及成交原则</w:t>
      </w:r>
    </w:p>
    <w:p>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1、有意向的供应商，请按照规定时间及方式向我院提交报价文件。</w:t>
      </w:r>
    </w:p>
    <w:p>
      <w:pPr>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2、本次报价须为人民币报价，其价格为包干含税价，包含运输费、人员费用、材料费、</w:t>
      </w:r>
      <w:r>
        <w:rPr>
          <w:rFonts w:hint="eastAsia" w:ascii="仿宋_GB2312" w:hAnsi="仿宋_GB2312" w:eastAsia="仿宋_GB2312" w:cs="仿宋_GB2312"/>
          <w:sz w:val="28"/>
          <w:szCs w:val="28"/>
          <w:lang w:val="en-US" w:eastAsia="zh-CN"/>
        </w:rPr>
        <w:t>安装费用、</w:t>
      </w:r>
      <w:r>
        <w:rPr>
          <w:rFonts w:hint="eastAsia" w:ascii="仿宋_GB2312" w:hAnsi="仿宋_GB2312" w:eastAsia="仿宋_GB2312" w:cs="仿宋_GB2312"/>
          <w:sz w:val="28"/>
          <w:szCs w:val="28"/>
        </w:rPr>
        <w:t>税费等所有费用，因供应商自身原因造成漏报、少报皆由其自行承担责任，采购人不再补偿。</w:t>
      </w:r>
    </w:p>
    <w:p>
      <w:pPr>
        <w:snapToGrid w:val="0"/>
        <w:spacing w:line="360" w:lineRule="auto"/>
        <w:ind w:firstLine="560" w:firstLineChars="200"/>
        <w:rPr>
          <w:rFonts w:ascii="Times New Roman" w:hAnsi="Times New Roman" w:eastAsia="方正仿宋_GBK" w:cs="Times New Roman"/>
          <w:b/>
          <w:bCs/>
          <w:sz w:val="28"/>
          <w:szCs w:val="28"/>
        </w:rPr>
      </w:pPr>
      <w:r>
        <w:rPr>
          <w:rFonts w:hint="eastAsia" w:ascii="仿宋_GB2312" w:hAnsi="仿宋_GB2312" w:eastAsia="仿宋_GB2312" w:cs="仿宋_GB2312"/>
          <w:kern w:val="0"/>
          <w:sz w:val="28"/>
          <w:szCs w:val="28"/>
        </w:rPr>
        <w:t>3、奉节县长江瞿塘峡段地质灾害专业监测预警项目对监测设备的性能要求及土建安装和建成后五年监测运行过程中的安全管控要求均高于常规地质灾害监测预警项目，综合考虑该项目的安全风险可控性和运行管理协调性，</w:t>
      </w:r>
      <w:r>
        <w:rPr>
          <w:rFonts w:hint="eastAsia" w:ascii="仿宋_GB2312" w:hAnsi="仿宋_GB2312" w:eastAsia="仿宋_GB2312" w:cs="仿宋_GB2312"/>
          <w:kern w:val="0"/>
          <w:sz w:val="28"/>
          <w:szCs w:val="28"/>
          <w:lang w:val="en-US" w:eastAsia="zh-CN"/>
        </w:rPr>
        <w:t>在符合资格要求的供应商中，</w:t>
      </w:r>
      <w:r>
        <w:rPr>
          <w:rFonts w:hint="eastAsia" w:ascii="仿宋_GB2312" w:hAnsi="仿宋_GB2312" w:eastAsia="仿宋_GB2312" w:cs="仿宋_GB2312"/>
          <w:kern w:val="0"/>
          <w:sz w:val="28"/>
          <w:szCs w:val="28"/>
        </w:rPr>
        <w:t>采取综合评分（详见综合评分表）方式择优遴选设备供应商，负责提供设备及土建安装、质保维护服务。</w:t>
      </w:r>
    </w:p>
    <w:p>
      <w:pPr>
        <w:snapToGrid w:val="0"/>
        <w:spacing w:line="360" w:lineRule="auto"/>
        <w:jc w:val="center"/>
        <w:rPr>
          <w:rFonts w:ascii="Times New Roman" w:hAnsi="Times New Roman" w:eastAsia="方正仿宋_GBK" w:cs="Times New Roman"/>
          <w:b/>
          <w:bCs/>
          <w:sz w:val="28"/>
          <w:szCs w:val="28"/>
        </w:rPr>
      </w:pPr>
      <w:r>
        <w:rPr>
          <w:rFonts w:hint="eastAsia" w:ascii="Times New Roman" w:hAnsi="Times New Roman" w:eastAsia="方正仿宋_GBK" w:cs="Times New Roman"/>
          <w:b/>
          <w:bCs/>
          <w:sz w:val="28"/>
          <w:szCs w:val="28"/>
        </w:rPr>
        <w:t>综合评分表</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1136"/>
        <w:gridCol w:w="1260"/>
        <w:gridCol w:w="3881"/>
        <w:gridCol w:w="1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79"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hint="eastAsia" w:ascii="方正仿宋_GBK" w:hAnsi="方正仿宋_GBK" w:eastAsia="方正仿宋_GBK" w:cs="方正仿宋_GBK"/>
                <w:b/>
                <w:kern w:val="0"/>
                <w:szCs w:val="21"/>
              </w:rPr>
            </w:pPr>
            <w:r>
              <w:rPr>
                <w:rFonts w:hint="eastAsia" w:ascii="方正仿宋_GBK" w:hAnsi="方正仿宋_GBK" w:eastAsia="方正仿宋_GBK" w:cs="方正仿宋_GBK"/>
                <w:b/>
                <w:kern w:val="0"/>
                <w:szCs w:val="21"/>
              </w:rPr>
              <w:t>序号</w:t>
            </w:r>
          </w:p>
        </w:tc>
        <w:tc>
          <w:tcPr>
            <w:tcW w:w="666"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hint="eastAsia" w:ascii="方正仿宋_GBK" w:hAnsi="方正仿宋_GBK" w:eastAsia="方正仿宋_GBK" w:cs="方正仿宋_GBK"/>
                <w:b/>
                <w:kern w:val="0"/>
                <w:szCs w:val="21"/>
              </w:rPr>
            </w:pPr>
            <w:r>
              <w:rPr>
                <w:rFonts w:hint="eastAsia" w:ascii="方正仿宋_GBK" w:hAnsi="方正仿宋_GBK" w:eastAsia="方正仿宋_GBK" w:cs="方正仿宋_GBK"/>
                <w:b/>
                <w:kern w:val="0"/>
                <w:szCs w:val="21"/>
              </w:rPr>
              <w:t>评分因素</w:t>
            </w:r>
          </w:p>
          <w:p>
            <w:pPr>
              <w:snapToGrid w:val="0"/>
              <w:spacing w:line="300" w:lineRule="exact"/>
              <w:jc w:val="center"/>
              <w:rPr>
                <w:rFonts w:hint="eastAsia" w:ascii="方正仿宋_GBK" w:hAnsi="方正仿宋_GBK" w:eastAsia="方正仿宋_GBK" w:cs="方正仿宋_GBK"/>
                <w:b/>
                <w:kern w:val="0"/>
                <w:szCs w:val="21"/>
              </w:rPr>
            </w:pPr>
            <w:r>
              <w:rPr>
                <w:rFonts w:hint="eastAsia" w:ascii="方正仿宋_GBK" w:hAnsi="方正仿宋_GBK" w:eastAsia="方正仿宋_GBK" w:cs="方正仿宋_GBK"/>
                <w:b/>
                <w:kern w:val="0"/>
                <w:szCs w:val="21"/>
              </w:rPr>
              <w:t>及权重</w:t>
            </w:r>
          </w:p>
        </w:tc>
        <w:tc>
          <w:tcPr>
            <w:tcW w:w="739"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hint="eastAsia" w:ascii="方正仿宋_GBK" w:hAnsi="方正仿宋_GBK" w:eastAsia="方正仿宋_GBK" w:cs="方正仿宋_GBK"/>
                <w:b/>
                <w:kern w:val="0"/>
                <w:szCs w:val="21"/>
              </w:rPr>
            </w:pPr>
            <w:r>
              <w:rPr>
                <w:rFonts w:hint="eastAsia" w:ascii="方正仿宋_GBK" w:hAnsi="方正仿宋_GBK" w:eastAsia="方正仿宋_GBK" w:cs="方正仿宋_GBK"/>
                <w:b/>
                <w:kern w:val="0"/>
                <w:szCs w:val="21"/>
              </w:rPr>
              <w:t>分值</w:t>
            </w:r>
          </w:p>
        </w:tc>
        <w:tc>
          <w:tcPr>
            <w:tcW w:w="2277"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hint="eastAsia" w:ascii="方正仿宋_GBK" w:hAnsi="方正仿宋_GBK" w:eastAsia="方正仿宋_GBK" w:cs="方正仿宋_GBK"/>
                <w:b/>
                <w:kern w:val="0"/>
                <w:szCs w:val="21"/>
              </w:rPr>
            </w:pPr>
            <w:r>
              <w:rPr>
                <w:rFonts w:hint="eastAsia" w:ascii="方正仿宋_GBK" w:hAnsi="方正仿宋_GBK" w:eastAsia="方正仿宋_GBK" w:cs="方正仿宋_GBK"/>
                <w:b/>
                <w:kern w:val="0"/>
                <w:szCs w:val="21"/>
              </w:rPr>
              <w:t>评分标准</w:t>
            </w:r>
          </w:p>
        </w:tc>
        <w:tc>
          <w:tcPr>
            <w:tcW w:w="1035"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hint="eastAsia" w:ascii="方正仿宋_GBK" w:hAnsi="方正仿宋_GBK" w:eastAsia="方正仿宋_GBK" w:cs="方正仿宋_GBK"/>
                <w:b/>
                <w:kern w:val="0"/>
                <w:szCs w:val="21"/>
              </w:rPr>
            </w:pPr>
            <w:r>
              <w:rPr>
                <w:rFonts w:hint="eastAsia" w:ascii="方正仿宋_GBK" w:hAnsi="方正仿宋_GBK" w:eastAsia="方正仿宋_GBK" w:cs="方正仿宋_GBK"/>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hint="eastAsia" w:ascii="方正仿宋_GBK" w:hAnsi="方正仿宋_GBK" w:eastAsia="方正仿宋_GBK" w:cs="方正仿宋_GBK"/>
                <w:b/>
                <w:color w:val="auto"/>
                <w:kern w:val="0"/>
                <w:szCs w:val="21"/>
              </w:rPr>
            </w:pPr>
            <w:r>
              <w:rPr>
                <w:rFonts w:hint="eastAsia" w:ascii="方正仿宋_GBK" w:hAnsi="方正仿宋_GBK" w:eastAsia="方正仿宋_GBK" w:cs="方正仿宋_GBK"/>
                <w:b/>
                <w:color w:val="auto"/>
                <w:kern w:val="0"/>
                <w:szCs w:val="21"/>
              </w:rPr>
              <w:t>1</w:t>
            </w:r>
          </w:p>
        </w:tc>
        <w:tc>
          <w:tcPr>
            <w:tcW w:w="666"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遴选报价（40%）</w:t>
            </w:r>
          </w:p>
        </w:tc>
        <w:tc>
          <w:tcPr>
            <w:tcW w:w="73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00" w:lineRule="exact"/>
              <w:jc w:val="center"/>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报价   （40分）</w:t>
            </w:r>
          </w:p>
        </w:tc>
        <w:tc>
          <w:tcPr>
            <w:tcW w:w="22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00" w:lineRule="exact"/>
              <w:jc w:val="left"/>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有效的遴选报价中最低价为遴选基准价，按照下列公式计算每个报价人的报价得分。</w:t>
            </w:r>
          </w:p>
          <w:p>
            <w:pPr>
              <w:widowControl/>
              <w:snapToGrid w:val="0"/>
              <w:spacing w:line="300" w:lineRule="exact"/>
              <w:jc w:val="left"/>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报价得分＝（遴选基准价/遴选报价）×价格权重×100。</w:t>
            </w:r>
          </w:p>
        </w:tc>
        <w:tc>
          <w:tcPr>
            <w:tcW w:w="103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300" w:lineRule="exact"/>
              <w:jc w:val="left"/>
              <w:rPr>
                <w:rFonts w:hint="eastAsia" w:ascii="方正仿宋_GBK" w:hAnsi="方正仿宋_GBK" w:eastAsia="方正仿宋_GBK" w:cs="方正仿宋_GBK"/>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8" w:hRule="atLeast"/>
          <w:jc w:val="center"/>
        </w:trPr>
        <w:tc>
          <w:tcPr>
            <w:tcW w:w="279" w:type="pct"/>
            <w:vMerge w:val="restart"/>
            <w:tcBorders>
              <w:top w:val="single" w:color="auto" w:sz="4" w:space="0"/>
              <w:left w:val="single" w:color="auto" w:sz="4" w:space="0"/>
              <w:right w:val="single" w:color="auto" w:sz="4" w:space="0"/>
            </w:tcBorders>
            <w:vAlign w:val="center"/>
          </w:tcPr>
          <w:p>
            <w:pPr>
              <w:widowControl/>
              <w:snapToGrid w:val="0"/>
              <w:spacing w:line="300" w:lineRule="exact"/>
              <w:jc w:val="center"/>
              <w:rPr>
                <w:rFonts w:hint="eastAsia" w:ascii="方正仿宋_GBK" w:hAnsi="方正仿宋_GBK" w:eastAsia="方正仿宋_GBK" w:cs="方正仿宋_GBK"/>
                <w:b/>
                <w:color w:val="auto"/>
                <w:kern w:val="0"/>
                <w:szCs w:val="21"/>
              </w:rPr>
            </w:pPr>
            <w:r>
              <w:rPr>
                <w:rFonts w:hint="eastAsia" w:ascii="方正仿宋_GBK" w:hAnsi="方正仿宋_GBK" w:eastAsia="方正仿宋_GBK" w:cs="方正仿宋_GBK"/>
                <w:bCs/>
                <w:color w:val="auto"/>
                <w:szCs w:val="21"/>
              </w:rPr>
              <w:t>2</w:t>
            </w:r>
          </w:p>
        </w:tc>
        <w:tc>
          <w:tcPr>
            <w:tcW w:w="666" w:type="pct"/>
            <w:vMerge w:val="restart"/>
            <w:tcBorders>
              <w:top w:val="single" w:color="auto" w:sz="4" w:space="0"/>
              <w:left w:val="single" w:color="auto" w:sz="4" w:space="0"/>
              <w:right w:val="single" w:color="auto" w:sz="4" w:space="0"/>
            </w:tcBorders>
            <w:vAlign w:val="center"/>
          </w:tcPr>
          <w:p>
            <w:pPr>
              <w:snapToGrid w:val="0"/>
              <w:spacing w:line="300" w:lineRule="exact"/>
              <w:jc w:val="center"/>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技术部分</w:t>
            </w:r>
          </w:p>
          <w:p>
            <w:pPr>
              <w:pStyle w:val="13"/>
              <w:ind w:firstLine="0" w:firstLineChars="0"/>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（4</w:t>
            </w:r>
            <w:r>
              <w:rPr>
                <w:rFonts w:hint="eastAsia" w:ascii="方正仿宋_GBK" w:hAnsi="方正仿宋_GBK" w:eastAsia="方正仿宋_GBK" w:cs="方正仿宋_GBK"/>
                <w:color w:val="auto"/>
                <w:szCs w:val="21"/>
                <w:lang w:val="en-US" w:eastAsia="zh-CN"/>
              </w:rPr>
              <w:t>2</w:t>
            </w:r>
            <w:r>
              <w:rPr>
                <w:rFonts w:hint="eastAsia" w:ascii="方正仿宋_GBK" w:hAnsi="方正仿宋_GBK" w:eastAsia="方正仿宋_GBK" w:cs="方正仿宋_GBK"/>
                <w:color w:val="auto"/>
                <w:szCs w:val="21"/>
              </w:rPr>
              <w:t>%）</w:t>
            </w:r>
          </w:p>
        </w:tc>
        <w:tc>
          <w:tcPr>
            <w:tcW w:w="739"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hint="eastAsia" w:ascii="方正仿宋_GBK" w:hAnsi="方正仿宋_GBK" w:eastAsia="方正仿宋_GBK" w:cs="方正仿宋_GBK"/>
                <w:bCs/>
                <w:color w:val="auto"/>
                <w:szCs w:val="21"/>
              </w:rPr>
            </w:pPr>
            <w:r>
              <w:rPr>
                <w:rFonts w:hint="eastAsia" w:ascii="方正仿宋_GBK" w:hAnsi="方正仿宋_GBK" w:eastAsia="方正仿宋_GBK" w:cs="方正仿宋_GBK"/>
                <w:bCs/>
                <w:color w:val="auto"/>
                <w:szCs w:val="21"/>
              </w:rPr>
              <w:t>设备技术参数</w:t>
            </w:r>
          </w:p>
          <w:p>
            <w:pPr>
              <w:widowControl/>
              <w:snapToGrid w:val="0"/>
              <w:spacing w:line="300" w:lineRule="exact"/>
              <w:jc w:val="center"/>
              <w:rPr>
                <w:rFonts w:hint="eastAsia" w:ascii="方正仿宋_GBK" w:hAnsi="方正仿宋_GBK" w:eastAsia="方正仿宋_GBK" w:cs="方正仿宋_GBK"/>
                <w:b/>
                <w:color w:val="auto"/>
                <w:kern w:val="0"/>
                <w:szCs w:val="21"/>
              </w:rPr>
            </w:pPr>
            <w:r>
              <w:rPr>
                <w:rFonts w:hint="eastAsia" w:ascii="方正仿宋_GBK" w:hAnsi="方正仿宋_GBK" w:eastAsia="方正仿宋_GBK" w:cs="方正仿宋_GBK"/>
                <w:bCs/>
                <w:color w:val="auto"/>
                <w:szCs w:val="21"/>
              </w:rPr>
              <w:t>（</w:t>
            </w:r>
            <w:r>
              <w:rPr>
                <w:rFonts w:hint="eastAsia" w:ascii="方正仿宋_GBK" w:hAnsi="方正仿宋_GBK" w:eastAsia="方正仿宋_GBK" w:cs="方正仿宋_GBK"/>
                <w:bCs/>
                <w:color w:val="auto"/>
                <w:szCs w:val="21"/>
                <w:lang w:val="en-US" w:eastAsia="zh-CN"/>
              </w:rPr>
              <w:t>4</w:t>
            </w:r>
            <w:r>
              <w:rPr>
                <w:rFonts w:hint="eastAsia" w:ascii="方正仿宋_GBK" w:hAnsi="方正仿宋_GBK" w:eastAsia="方正仿宋_GBK" w:cs="方正仿宋_GBK"/>
                <w:bCs/>
                <w:color w:val="auto"/>
                <w:szCs w:val="21"/>
              </w:rPr>
              <w:t>分</w:t>
            </w:r>
            <w:r>
              <w:rPr>
                <w:rFonts w:hint="eastAsia" w:ascii="方正仿宋_GBK" w:hAnsi="方正仿宋_GBK" w:eastAsia="方正仿宋_GBK" w:cs="方正仿宋_GBK"/>
                <w:b/>
                <w:color w:val="auto"/>
                <w:kern w:val="0"/>
                <w:szCs w:val="21"/>
              </w:rPr>
              <w:t>）</w:t>
            </w:r>
          </w:p>
        </w:tc>
        <w:tc>
          <w:tcPr>
            <w:tcW w:w="2277"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left"/>
              <w:rPr>
                <w:rFonts w:hint="eastAsia" w:ascii="方正仿宋_GBK" w:hAnsi="方正仿宋_GBK" w:eastAsia="方正仿宋_GBK" w:cs="方正仿宋_GBK"/>
                <w:b/>
                <w:color w:val="auto"/>
                <w:kern w:val="0"/>
                <w:szCs w:val="21"/>
              </w:rPr>
            </w:pPr>
            <w:r>
              <w:rPr>
                <w:rFonts w:hint="eastAsia" w:ascii="方正仿宋_GBK" w:hAnsi="方正仿宋_GBK" w:eastAsia="方正仿宋_GBK" w:cs="方正仿宋_GBK"/>
                <w:color w:val="auto"/>
                <w:szCs w:val="21"/>
              </w:rPr>
              <w:t>设备供应商所供应设备技术参数须满足本遴选文件“监测</w:t>
            </w:r>
            <w:r>
              <w:rPr>
                <w:rFonts w:hint="eastAsia" w:ascii="方正仿宋_GBK" w:hAnsi="方正仿宋_GBK" w:eastAsia="方正仿宋_GBK" w:cs="方正仿宋_GBK"/>
                <w:color w:val="auto"/>
                <w:szCs w:val="21"/>
                <w:lang w:val="en-US" w:eastAsia="zh-CN"/>
              </w:rPr>
              <w:t>预警</w:t>
            </w:r>
            <w:r>
              <w:rPr>
                <w:rFonts w:hint="eastAsia" w:ascii="方正仿宋_GBK" w:hAnsi="方正仿宋_GBK" w:eastAsia="方正仿宋_GBK" w:cs="方正仿宋_GBK"/>
                <w:color w:val="auto"/>
                <w:szCs w:val="21"/>
              </w:rPr>
              <w:t>设备要求”</w:t>
            </w:r>
            <w:r>
              <w:rPr>
                <w:rFonts w:hint="eastAsia" w:ascii="方正仿宋_GBK" w:hAnsi="方正仿宋_GBK" w:eastAsia="方正仿宋_GBK" w:cs="方正仿宋_GBK"/>
                <w:color w:val="auto"/>
                <w:szCs w:val="21"/>
                <w:lang w:eastAsia="zh-CN"/>
              </w:rPr>
              <w:t>，</w:t>
            </w:r>
            <w:r>
              <w:rPr>
                <w:rFonts w:hint="eastAsia" w:ascii="方正仿宋_GBK" w:hAnsi="方正仿宋_GBK" w:eastAsia="方正仿宋_GBK" w:cs="方正仿宋_GBK"/>
                <w:color w:val="auto"/>
                <w:szCs w:val="21"/>
              </w:rPr>
              <w:t>否则无效。其中重要技术要求“</w:t>
            </w:r>
            <w:r>
              <w:rPr>
                <w:rFonts w:hint="eastAsia" w:ascii="方正仿宋_GBK" w:hAnsi="方正仿宋_GBK" w:eastAsia="方正仿宋_GBK" w:cs="方正仿宋_GBK"/>
                <w:color w:val="auto"/>
                <w:kern w:val="0"/>
                <w:szCs w:val="21"/>
              </w:rPr>
              <w:t>※</w:t>
            </w:r>
            <w:r>
              <w:rPr>
                <w:rFonts w:hint="eastAsia" w:ascii="方正仿宋_GBK" w:hAnsi="方正仿宋_GBK" w:eastAsia="方正仿宋_GBK" w:cs="方正仿宋_GBK"/>
                <w:color w:val="auto"/>
                <w:szCs w:val="21"/>
              </w:rPr>
              <w:t>”标注的条款，所供应设备技术参数优于一条加</w:t>
            </w:r>
            <w:r>
              <w:rPr>
                <w:rFonts w:hint="eastAsia" w:ascii="方正仿宋_GBK" w:hAnsi="方正仿宋_GBK" w:eastAsia="方正仿宋_GBK" w:cs="方正仿宋_GBK"/>
                <w:color w:val="auto"/>
                <w:szCs w:val="21"/>
                <w:lang w:val="en-US" w:eastAsia="zh-CN"/>
              </w:rPr>
              <w:t>2</w:t>
            </w:r>
            <w:r>
              <w:rPr>
                <w:rFonts w:hint="eastAsia" w:ascii="方正仿宋_GBK" w:hAnsi="方正仿宋_GBK" w:eastAsia="方正仿宋_GBK" w:cs="方正仿宋_GBK"/>
                <w:color w:val="auto"/>
                <w:szCs w:val="21"/>
              </w:rPr>
              <w:t>分，最多加</w:t>
            </w:r>
            <w:r>
              <w:rPr>
                <w:rFonts w:hint="eastAsia" w:ascii="方正仿宋_GBK" w:hAnsi="方正仿宋_GBK" w:eastAsia="方正仿宋_GBK" w:cs="方正仿宋_GBK"/>
                <w:color w:val="auto"/>
                <w:szCs w:val="21"/>
                <w:lang w:val="en-US" w:eastAsia="zh-CN"/>
              </w:rPr>
              <w:t>4</w:t>
            </w:r>
            <w:r>
              <w:rPr>
                <w:rFonts w:hint="eastAsia" w:ascii="方正仿宋_GBK" w:hAnsi="方正仿宋_GBK" w:eastAsia="方正仿宋_GBK" w:cs="方正仿宋_GBK"/>
                <w:color w:val="auto"/>
                <w:szCs w:val="21"/>
              </w:rPr>
              <w:t>分</w:t>
            </w:r>
          </w:p>
        </w:tc>
        <w:tc>
          <w:tcPr>
            <w:tcW w:w="1035"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left"/>
              <w:rPr>
                <w:rFonts w:hint="eastAsia" w:ascii="方正仿宋_GBK" w:hAnsi="方正仿宋_GBK" w:eastAsia="方正仿宋_GBK" w:cs="方正仿宋_GBK"/>
                <w:b/>
                <w:color w:val="auto"/>
                <w:kern w:val="0"/>
                <w:szCs w:val="21"/>
              </w:rPr>
            </w:pPr>
            <w:r>
              <w:rPr>
                <w:rFonts w:hint="eastAsia" w:ascii="方正仿宋_GBK" w:hAnsi="方正仿宋_GBK" w:eastAsia="方正仿宋_GBK" w:cs="方正仿宋_GBK"/>
                <w:color w:val="auto"/>
                <w:szCs w:val="21"/>
              </w:rPr>
              <w:t>提供参数差异表和各类设备检测报告，以及第三方检测机构简介、第三方检测机构资质（CMA、CNAS）、级别，原件备查。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8" w:hRule="atLeast"/>
          <w:jc w:val="center"/>
        </w:trPr>
        <w:tc>
          <w:tcPr>
            <w:tcW w:w="279" w:type="pct"/>
            <w:vMerge w:val="continue"/>
            <w:tcBorders>
              <w:left w:val="single" w:color="auto" w:sz="4" w:space="0"/>
              <w:right w:val="single" w:color="auto" w:sz="4" w:space="0"/>
            </w:tcBorders>
            <w:vAlign w:val="center"/>
          </w:tcPr>
          <w:p>
            <w:pPr>
              <w:widowControl/>
              <w:snapToGrid w:val="0"/>
              <w:spacing w:line="300" w:lineRule="exact"/>
              <w:jc w:val="center"/>
              <w:rPr>
                <w:rFonts w:hint="eastAsia" w:ascii="方正仿宋_GBK" w:hAnsi="方正仿宋_GBK" w:eastAsia="方正仿宋_GBK" w:cs="方正仿宋_GBK"/>
                <w:b/>
                <w:kern w:val="0"/>
                <w:szCs w:val="21"/>
              </w:rPr>
            </w:pPr>
          </w:p>
        </w:tc>
        <w:tc>
          <w:tcPr>
            <w:tcW w:w="666" w:type="pct"/>
            <w:vMerge w:val="continue"/>
            <w:tcBorders>
              <w:left w:val="single" w:color="auto" w:sz="4" w:space="0"/>
              <w:right w:val="single" w:color="auto" w:sz="4" w:space="0"/>
            </w:tcBorders>
            <w:vAlign w:val="center"/>
          </w:tcPr>
          <w:p>
            <w:pPr>
              <w:pStyle w:val="13"/>
              <w:ind w:firstLine="0" w:firstLineChars="0"/>
              <w:rPr>
                <w:rFonts w:hint="eastAsia" w:ascii="方正仿宋_GBK" w:hAnsi="方正仿宋_GBK" w:eastAsia="方正仿宋_GBK" w:cs="方正仿宋_GBK"/>
                <w:b/>
                <w:kern w:val="0"/>
                <w:szCs w:val="21"/>
              </w:rPr>
            </w:pPr>
          </w:p>
        </w:tc>
        <w:tc>
          <w:tcPr>
            <w:tcW w:w="739" w:type="pct"/>
            <w:tcBorders>
              <w:top w:val="single" w:color="auto" w:sz="4" w:space="0"/>
              <w:left w:val="single" w:color="auto" w:sz="4" w:space="0"/>
              <w:bottom w:val="single" w:color="auto" w:sz="4" w:space="0"/>
              <w:right w:val="single" w:color="auto" w:sz="4" w:space="0"/>
            </w:tcBorders>
            <w:vAlign w:val="center"/>
          </w:tcPr>
          <w:p>
            <w:pPr>
              <w:pStyle w:val="13"/>
              <w:ind w:firstLine="0" w:firstLineChars="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土建安装施工组织设计</w:t>
            </w:r>
          </w:p>
          <w:p>
            <w:pPr>
              <w:pStyle w:val="13"/>
              <w:ind w:firstLine="0" w:firstLineChars="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w:t>
            </w:r>
            <w:r>
              <w:rPr>
                <w:rFonts w:hint="eastAsia" w:ascii="方正仿宋_GBK" w:hAnsi="方正仿宋_GBK" w:eastAsia="方正仿宋_GBK" w:cs="方正仿宋_GBK"/>
                <w:szCs w:val="21"/>
                <w:lang w:val="en-US" w:eastAsia="zh-CN"/>
              </w:rPr>
              <w:t>20</w:t>
            </w:r>
            <w:r>
              <w:rPr>
                <w:rFonts w:hint="eastAsia" w:ascii="方正仿宋_GBK" w:hAnsi="方正仿宋_GBK" w:eastAsia="方正仿宋_GBK" w:cs="方正仿宋_GBK"/>
                <w:szCs w:val="21"/>
              </w:rPr>
              <w:t>分）</w:t>
            </w:r>
          </w:p>
        </w:tc>
        <w:tc>
          <w:tcPr>
            <w:tcW w:w="2277"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left"/>
              <w:rPr>
                <w:rFonts w:hint="eastAsia" w:ascii="方正仿宋_GBK" w:hAnsi="方正仿宋_GBK" w:eastAsia="方正仿宋_GBK" w:cs="方正仿宋_GBK"/>
                <w:bCs/>
                <w:color w:val="auto"/>
                <w:szCs w:val="21"/>
              </w:rPr>
            </w:pPr>
            <w:r>
              <w:rPr>
                <w:rFonts w:hint="eastAsia" w:ascii="方正仿宋_GBK" w:hAnsi="方正仿宋_GBK" w:eastAsia="方正仿宋_GBK" w:cs="方正仿宋_GBK"/>
                <w:bCs/>
                <w:color w:val="auto"/>
                <w:szCs w:val="21"/>
              </w:rPr>
              <w:t>土建安装施工组织设计主要围绕以下几点进行评审：</w:t>
            </w:r>
          </w:p>
          <w:p>
            <w:pPr>
              <w:widowControl/>
              <w:numPr>
                <w:ilvl w:val="0"/>
                <w:numId w:val="4"/>
              </w:numPr>
              <w:snapToGrid w:val="0"/>
              <w:spacing w:line="300" w:lineRule="exact"/>
              <w:jc w:val="left"/>
              <w:rPr>
                <w:rFonts w:hint="eastAsia" w:ascii="方正仿宋_GBK" w:hAnsi="方正仿宋_GBK" w:eastAsia="方正仿宋_GBK" w:cs="方正仿宋_GBK"/>
                <w:bCs/>
                <w:color w:val="auto"/>
                <w:szCs w:val="21"/>
                <w:lang w:val="en-US" w:eastAsia="zh-CN"/>
              </w:rPr>
            </w:pPr>
            <w:r>
              <w:rPr>
                <w:rFonts w:hint="eastAsia" w:ascii="方正仿宋_GBK" w:hAnsi="方正仿宋_GBK" w:eastAsia="方正仿宋_GBK" w:cs="方正仿宋_GBK"/>
                <w:bCs/>
                <w:color w:val="auto"/>
                <w:szCs w:val="21"/>
              </w:rPr>
              <w:t>项目的总体理解；全面、深入理解项目的整体目标、规模、范围及特殊要求，确保施工组织设计与项目实际需求高度契合</w:t>
            </w:r>
            <w:r>
              <w:rPr>
                <w:rFonts w:hint="eastAsia" w:ascii="方正仿宋_GBK" w:hAnsi="方正仿宋_GBK" w:eastAsia="方正仿宋_GBK" w:cs="方正仿宋_GBK"/>
                <w:bCs/>
                <w:color w:val="auto"/>
                <w:szCs w:val="21"/>
                <w:lang w:val="en-US" w:eastAsia="zh-CN"/>
              </w:rPr>
              <w:t>的，得4分；能准确了解项目</w:t>
            </w:r>
            <w:r>
              <w:rPr>
                <w:rFonts w:hint="eastAsia" w:ascii="方正仿宋_GBK" w:hAnsi="方正仿宋_GBK" w:eastAsia="方正仿宋_GBK" w:cs="方正仿宋_GBK"/>
                <w:bCs/>
                <w:color w:val="auto"/>
                <w:szCs w:val="21"/>
              </w:rPr>
              <w:t>的整体目标、规模、范围及特殊要求</w:t>
            </w:r>
            <w:r>
              <w:rPr>
                <w:rFonts w:hint="eastAsia" w:ascii="方正仿宋_GBK" w:hAnsi="方正仿宋_GBK" w:eastAsia="方正仿宋_GBK" w:cs="方正仿宋_GBK"/>
                <w:bCs/>
                <w:color w:val="auto"/>
                <w:szCs w:val="21"/>
                <w:lang w:eastAsia="zh-CN"/>
              </w:rPr>
              <w:t>，</w:t>
            </w:r>
            <w:r>
              <w:rPr>
                <w:rFonts w:hint="eastAsia" w:ascii="方正仿宋_GBK" w:hAnsi="方正仿宋_GBK" w:eastAsia="方正仿宋_GBK" w:cs="方正仿宋_GBK"/>
                <w:bCs/>
                <w:color w:val="auto"/>
                <w:szCs w:val="21"/>
              </w:rPr>
              <w:t>施工组织设计与项目实际需求</w:t>
            </w:r>
            <w:r>
              <w:rPr>
                <w:rFonts w:hint="eastAsia" w:ascii="方正仿宋_GBK" w:hAnsi="方正仿宋_GBK" w:eastAsia="方正仿宋_GBK" w:cs="方正仿宋_GBK"/>
                <w:bCs/>
                <w:color w:val="auto"/>
                <w:szCs w:val="21"/>
                <w:lang w:val="en-US" w:eastAsia="zh-CN"/>
              </w:rPr>
              <w:t>有关联但不够深入的，得2分；仅了解项目的部分基本信息，</w:t>
            </w:r>
            <w:r>
              <w:rPr>
                <w:rFonts w:hint="eastAsia" w:ascii="方正仿宋_GBK" w:hAnsi="方正仿宋_GBK" w:eastAsia="方正仿宋_GBK" w:cs="方正仿宋_GBK"/>
                <w:bCs/>
                <w:color w:val="auto"/>
                <w:szCs w:val="21"/>
              </w:rPr>
              <w:t>项目的整体目标、规模、范围及特殊要求</w:t>
            </w:r>
            <w:r>
              <w:rPr>
                <w:rFonts w:hint="eastAsia" w:ascii="方正仿宋_GBK" w:hAnsi="方正仿宋_GBK" w:eastAsia="方正仿宋_GBK" w:cs="方正仿宋_GBK"/>
                <w:bCs/>
                <w:color w:val="auto"/>
                <w:szCs w:val="21"/>
                <w:lang w:val="en-US" w:eastAsia="zh-CN"/>
              </w:rPr>
              <w:t>理解错误较多，提出的</w:t>
            </w:r>
            <w:r>
              <w:rPr>
                <w:rFonts w:hint="eastAsia" w:ascii="方正仿宋_GBK" w:hAnsi="方正仿宋_GBK" w:eastAsia="方正仿宋_GBK" w:cs="方正仿宋_GBK"/>
                <w:bCs/>
                <w:color w:val="auto"/>
                <w:szCs w:val="21"/>
              </w:rPr>
              <w:t>施工组织设计与项目</w:t>
            </w:r>
            <w:r>
              <w:rPr>
                <w:rFonts w:hint="eastAsia" w:ascii="方正仿宋_GBK" w:hAnsi="方正仿宋_GBK" w:eastAsia="方正仿宋_GBK" w:cs="方正仿宋_GBK"/>
                <w:bCs/>
                <w:color w:val="auto"/>
                <w:szCs w:val="21"/>
                <w:lang w:val="en-US" w:eastAsia="zh-CN"/>
              </w:rPr>
              <w:t>实际不符的，得0分。</w:t>
            </w:r>
          </w:p>
          <w:p>
            <w:pPr>
              <w:widowControl/>
              <w:snapToGrid w:val="0"/>
              <w:spacing w:line="300" w:lineRule="exact"/>
              <w:jc w:val="left"/>
              <w:rPr>
                <w:rFonts w:hint="default" w:ascii="方正仿宋_GBK" w:hAnsi="方正仿宋_GBK" w:eastAsia="方正仿宋_GBK" w:cs="方正仿宋_GBK"/>
                <w:bCs/>
                <w:color w:val="auto"/>
                <w:szCs w:val="21"/>
                <w:lang w:val="en-US" w:eastAsia="zh-CN"/>
              </w:rPr>
            </w:pPr>
            <w:r>
              <w:rPr>
                <w:rFonts w:hint="eastAsia" w:ascii="方正仿宋_GBK" w:hAnsi="方正仿宋_GBK" w:eastAsia="方正仿宋_GBK" w:cs="方正仿宋_GBK"/>
                <w:bCs/>
                <w:color w:val="auto"/>
                <w:szCs w:val="21"/>
              </w:rPr>
              <w:t>（2）监测项目土建安装的重点、难点分析；</w:t>
            </w:r>
            <w:r>
              <w:rPr>
                <w:rFonts w:hint="eastAsia" w:ascii="方正仿宋_GBK" w:hAnsi="方正仿宋_GBK" w:eastAsia="方正仿宋_GBK" w:cs="方正仿宋_GBK"/>
                <w:bCs/>
                <w:color w:val="auto"/>
                <w:szCs w:val="21"/>
                <w:lang w:val="en-US" w:eastAsia="zh-CN"/>
              </w:rPr>
              <w:t>能够准确识别土建安装过程中的关键节点、潜在风险及挑战，提出针对性的解决方案，确保施工过程的顺利进行的，得4分；能够识别土建安装过程中的关键节点、潜在风险及挑战，提出与重难点基本相符的解决方案，基本确保施工过程的顺利进行的，得2分；未能识别土建安装过程中的关键节点、潜在风险及挑战，或提出的解决方案不具备针对性，不能确保施工过程的顺利进行的，得0分。</w:t>
            </w:r>
          </w:p>
          <w:p>
            <w:pPr>
              <w:widowControl/>
              <w:snapToGrid w:val="0"/>
              <w:spacing w:line="300" w:lineRule="exact"/>
              <w:jc w:val="left"/>
              <w:rPr>
                <w:rFonts w:hint="default" w:ascii="方正仿宋_GBK" w:hAnsi="方正仿宋_GBK" w:eastAsia="方正仿宋_GBK" w:cs="方正仿宋_GBK"/>
                <w:bCs/>
                <w:color w:val="auto"/>
                <w:szCs w:val="21"/>
                <w:lang w:val="en-US" w:eastAsia="zh-CN"/>
              </w:rPr>
            </w:pPr>
            <w:r>
              <w:rPr>
                <w:rFonts w:hint="eastAsia" w:ascii="方正仿宋_GBK" w:hAnsi="方正仿宋_GBK" w:eastAsia="方正仿宋_GBK" w:cs="方正仿宋_GBK"/>
                <w:bCs/>
                <w:color w:val="auto"/>
                <w:szCs w:val="21"/>
              </w:rPr>
              <w:t>（3）施工组织管理机构及人员配置；建立科学、合理的施工组织管理机构，明确各岗位职责，配置具备相应专业技能和经验的施工人员</w:t>
            </w:r>
            <w:r>
              <w:rPr>
                <w:rFonts w:hint="eastAsia" w:ascii="方正仿宋_GBK" w:hAnsi="方正仿宋_GBK" w:eastAsia="方正仿宋_GBK" w:cs="方正仿宋_GBK"/>
                <w:bCs/>
                <w:color w:val="auto"/>
                <w:szCs w:val="21"/>
                <w:lang w:val="en-US" w:eastAsia="zh-CN"/>
              </w:rPr>
              <w:t>，得4分；编制了</w:t>
            </w:r>
            <w:r>
              <w:rPr>
                <w:rFonts w:hint="eastAsia" w:ascii="方正仿宋_GBK" w:hAnsi="方正仿宋_GBK" w:eastAsia="方正仿宋_GBK" w:cs="方正仿宋_GBK"/>
                <w:bCs/>
                <w:color w:val="auto"/>
                <w:szCs w:val="21"/>
              </w:rPr>
              <w:t>施工组织管理机构，</w:t>
            </w:r>
            <w:r>
              <w:rPr>
                <w:rFonts w:hint="eastAsia" w:ascii="方正仿宋_GBK" w:hAnsi="方正仿宋_GBK" w:eastAsia="方正仿宋_GBK" w:cs="方正仿宋_GBK"/>
                <w:bCs/>
                <w:color w:val="auto"/>
                <w:szCs w:val="21"/>
                <w:lang w:val="en-US" w:eastAsia="zh-CN"/>
              </w:rPr>
              <w:t>但</w:t>
            </w:r>
            <w:r>
              <w:rPr>
                <w:rFonts w:hint="eastAsia" w:ascii="方正仿宋_GBK" w:hAnsi="方正仿宋_GBK" w:eastAsia="方正仿宋_GBK" w:cs="方正仿宋_GBK"/>
                <w:bCs/>
                <w:color w:val="auto"/>
                <w:szCs w:val="21"/>
              </w:rPr>
              <w:t>各岗位配置</w:t>
            </w:r>
            <w:r>
              <w:rPr>
                <w:rFonts w:hint="eastAsia" w:ascii="方正仿宋_GBK" w:hAnsi="方正仿宋_GBK" w:eastAsia="方正仿宋_GBK" w:cs="方正仿宋_GBK"/>
                <w:bCs/>
                <w:color w:val="auto"/>
                <w:szCs w:val="21"/>
                <w:lang w:eastAsia="zh-CN"/>
              </w:rPr>
              <w:t>、</w:t>
            </w:r>
            <w:r>
              <w:rPr>
                <w:rFonts w:hint="eastAsia" w:ascii="方正仿宋_GBK" w:hAnsi="方正仿宋_GBK" w:eastAsia="方正仿宋_GBK" w:cs="方正仿宋_GBK"/>
                <w:bCs/>
                <w:color w:val="auto"/>
                <w:szCs w:val="21"/>
              </w:rPr>
              <w:t>职责</w:t>
            </w:r>
            <w:r>
              <w:rPr>
                <w:rFonts w:hint="eastAsia" w:ascii="方正仿宋_GBK" w:hAnsi="方正仿宋_GBK" w:eastAsia="方正仿宋_GBK" w:cs="方正仿宋_GBK"/>
                <w:bCs/>
                <w:color w:val="auto"/>
                <w:szCs w:val="21"/>
                <w:lang w:val="en-US" w:eastAsia="zh-CN"/>
              </w:rPr>
              <w:t>不</w:t>
            </w:r>
            <w:r>
              <w:rPr>
                <w:rFonts w:hint="eastAsia" w:ascii="方正仿宋_GBK" w:hAnsi="方正仿宋_GBK" w:eastAsia="方正仿宋_GBK" w:cs="方正仿宋_GBK"/>
                <w:bCs/>
                <w:color w:val="auto"/>
                <w:szCs w:val="21"/>
              </w:rPr>
              <w:t>明确</w:t>
            </w:r>
            <w:r>
              <w:rPr>
                <w:rFonts w:hint="eastAsia" w:ascii="方正仿宋_GBK" w:hAnsi="方正仿宋_GBK" w:eastAsia="方正仿宋_GBK" w:cs="方正仿宋_GBK"/>
                <w:bCs/>
                <w:color w:val="auto"/>
                <w:szCs w:val="21"/>
                <w:lang w:val="en-US" w:eastAsia="zh-CN"/>
              </w:rPr>
              <w:t>的，得2分；未</w:t>
            </w:r>
            <w:r>
              <w:rPr>
                <w:rFonts w:hint="eastAsia" w:ascii="方正仿宋_GBK" w:hAnsi="方正仿宋_GBK" w:eastAsia="方正仿宋_GBK" w:cs="方正仿宋_GBK"/>
                <w:bCs/>
                <w:color w:val="auto"/>
                <w:szCs w:val="21"/>
              </w:rPr>
              <w:t>建立施工组织管理机构，</w:t>
            </w:r>
            <w:r>
              <w:rPr>
                <w:rFonts w:hint="eastAsia" w:ascii="方正仿宋_GBK" w:hAnsi="方正仿宋_GBK" w:eastAsia="方正仿宋_GBK" w:cs="方正仿宋_GBK"/>
                <w:bCs/>
                <w:color w:val="auto"/>
                <w:szCs w:val="21"/>
                <w:lang w:val="en-US" w:eastAsia="zh-CN"/>
              </w:rPr>
              <w:t>未</w:t>
            </w:r>
            <w:r>
              <w:rPr>
                <w:rFonts w:hint="eastAsia" w:ascii="方正仿宋_GBK" w:hAnsi="方正仿宋_GBK" w:eastAsia="方正仿宋_GBK" w:cs="方正仿宋_GBK"/>
                <w:bCs/>
                <w:color w:val="auto"/>
                <w:szCs w:val="21"/>
              </w:rPr>
              <w:t>配置具备相应专业技能和经验的施工人员</w:t>
            </w:r>
            <w:r>
              <w:rPr>
                <w:rFonts w:hint="eastAsia" w:ascii="方正仿宋_GBK" w:hAnsi="方正仿宋_GBK" w:eastAsia="方正仿宋_GBK" w:cs="方正仿宋_GBK"/>
                <w:bCs/>
                <w:color w:val="auto"/>
                <w:szCs w:val="21"/>
                <w:lang w:val="en-US" w:eastAsia="zh-CN"/>
              </w:rPr>
              <w:t>的</w:t>
            </w:r>
            <w:r>
              <w:rPr>
                <w:rFonts w:hint="eastAsia" w:ascii="方正仿宋_GBK" w:hAnsi="方正仿宋_GBK" w:eastAsia="方正仿宋_GBK" w:cs="方正仿宋_GBK"/>
                <w:bCs/>
                <w:color w:val="auto"/>
                <w:szCs w:val="21"/>
              </w:rPr>
              <w:t>，</w:t>
            </w:r>
            <w:r>
              <w:rPr>
                <w:rFonts w:hint="eastAsia" w:ascii="方正仿宋_GBK" w:hAnsi="方正仿宋_GBK" w:eastAsia="方正仿宋_GBK" w:cs="方正仿宋_GBK"/>
                <w:bCs/>
                <w:color w:val="auto"/>
                <w:szCs w:val="21"/>
                <w:lang w:val="en-US" w:eastAsia="zh-CN"/>
              </w:rPr>
              <w:t>得0分；</w:t>
            </w:r>
          </w:p>
          <w:p>
            <w:pPr>
              <w:widowControl/>
              <w:snapToGrid w:val="0"/>
              <w:spacing w:line="300" w:lineRule="exact"/>
              <w:jc w:val="left"/>
              <w:rPr>
                <w:rFonts w:hint="default" w:ascii="方正仿宋_GBK" w:hAnsi="方正仿宋_GBK" w:eastAsia="方正仿宋_GBK" w:cs="方正仿宋_GBK"/>
                <w:color w:val="auto"/>
                <w:szCs w:val="21"/>
                <w:lang w:val="en-US"/>
              </w:rPr>
            </w:pPr>
            <w:r>
              <w:rPr>
                <w:rFonts w:hint="eastAsia" w:ascii="方正仿宋_GBK" w:hAnsi="方正仿宋_GBK" w:eastAsia="方正仿宋_GBK" w:cs="方正仿宋_GBK"/>
                <w:bCs/>
                <w:color w:val="auto"/>
                <w:szCs w:val="21"/>
              </w:rPr>
              <w:t>（</w:t>
            </w:r>
            <w:r>
              <w:rPr>
                <w:rFonts w:hint="eastAsia" w:ascii="方正仿宋_GBK" w:hAnsi="方正仿宋_GBK" w:eastAsia="方正仿宋_GBK" w:cs="方正仿宋_GBK"/>
                <w:bCs/>
                <w:color w:val="auto"/>
                <w:szCs w:val="21"/>
                <w:lang w:val="en-US" w:eastAsia="zh-CN"/>
              </w:rPr>
              <w:t>4</w:t>
            </w:r>
            <w:r>
              <w:rPr>
                <w:rFonts w:hint="eastAsia" w:ascii="方正仿宋_GBK" w:hAnsi="方正仿宋_GBK" w:eastAsia="方正仿宋_GBK" w:cs="方正仿宋_GBK"/>
                <w:bCs/>
                <w:color w:val="auto"/>
                <w:szCs w:val="21"/>
              </w:rPr>
              <w:t>）攀岩</w:t>
            </w:r>
            <w:r>
              <w:rPr>
                <w:rFonts w:hint="eastAsia" w:ascii="方正仿宋_GBK" w:hAnsi="方正仿宋_GBK" w:eastAsia="方正仿宋_GBK" w:cs="方正仿宋_GBK"/>
                <w:bCs/>
                <w:color w:val="auto"/>
                <w:szCs w:val="21"/>
                <w:lang w:val="en-US" w:eastAsia="zh-CN"/>
              </w:rPr>
              <w:t>安装人员</w:t>
            </w:r>
            <w:r>
              <w:rPr>
                <w:rFonts w:hint="eastAsia" w:ascii="方正仿宋_GBK" w:hAnsi="方正仿宋_GBK" w:eastAsia="方正仿宋_GBK" w:cs="方正仿宋_GBK"/>
                <w:bCs/>
                <w:color w:val="auto"/>
                <w:szCs w:val="21"/>
              </w:rPr>
              <w:t>的管理</w:t>
            </w:r>
            <w:r>
              <w:rPr>
                <w:rFonts w:hint="eastAsia" w:ascii="仿宋" w:hAnsi="仿宋" w:eastAsia="仿宋" w:cs="仿宋"/>
                <w:bCs/>
                <w:color w:val="auto"/>
                <w:szCs w:val="21"/>
              </w:rPr>
              <w:t>；</w:t>
            </w:r>
            <w:r>
              <w:rPr>
                <w:rFonts w:hint="eastAsia" w:ascii="仿宋" w:hAnsi="仿宋" w:eastAsia="仿宋" w:cs="仿宋"/>
                <w:color w:val="auto"/>
              </w:rPr>
              <w:t>对攀岩</w:t>
            </w:r>
            <w:r>
              <w:rPr>
                <w:rFonts w:hint="eastAsia" w:ascii="仿宋" w:hAnsi="仿宋" w:eastAsia="仿宋" w:cs="仿宋"/>
                <w:color w:val="auto"/>
                <w:lang w:val="en-US" w:eastAsia="zh-CN"/>
              </w:rPr>
              <w:t>人员公司</w:t>
            </w:r>
            <w:r>
              <w:rPr>
                <w:rFonts w:hint="eastAsia" w:ascii="仿宋" w:hAnsi="仿宋" w:eastAsia="仿宋" w:cs="仿宋"/>
                <w:color w:val="auto"/>
              </w:rPr>
              <w:t>进行严格的资质审查，建立有效的管理机制，确保</w:t>
            </w:r>
            <w:r>
              <w:rPr>
                <w:rFonts w:hint="eastAsia" w:ascii="仿宋" w:hAnsi="仿宋" w:eastAsia="仿宋" w:cs="仿宋"/>
                <w:color w:val="auto"/>
                <w:lang w:val="en-US" w:eastAsia="zh-CN"/>
              </w:rPr>
              <w:t>专业攀岩</w:t>
            </w:r>
            <w:r>
              <w:rPr>
                <w:rFonts w:hint="eastAsia" w:ascii="仿宋" w:hAnsi="仿宋" w:eastAsia="仿宋" w:cs="仿宋"/>
                <w:color w:val="auto"/>
              </w:rPr>
              <w:t>人员的专业水平及工作纪律</w:t>
            </w:r>
            <w:r>
              <w:rPr>
                <w:rFonts w:hint="eastAsia" w:ascii="仿宋" w:hAnsi="仿宋" w:eastAsia="仿宋" w:cs="仿宋"/>
                <w:color w:val="auto"/>
                <w:lang w:val="en-US" w:eastAsia="zh-CN"/>
              </w:rPr>
              <w:t>的</w:t>
            </w:r>
            <w:r>
              <w:rPr>
                <w:rFonts w:hint="eastAsia" w:ascii="仿宋" w:hAnsi="仿宋" w:eastAsia="仿宋" w:cs="仿宋"/>
                <w:bCs/>
                <w:color w:val="auto"/>
                <w:szCs w:val="21"/>
                <w:lang w:val="en-US" w:eastAsia="zh-CN"/>
              </w:rPr>
              <w:t>，得4分；未</w:t>
            </w:r>
            <w:r>
              <w:rPr>
                <w:rFonts w:hint="eastAsia" w:ascii="仿宋" w:hAnsi="仿宋" w:eastAsia="仿宋" w:cs="仿宋"/>
                <w:color w:val="auto"/>
              </w:rPr>
              <w:t>对攀岩</w:t>
            </w:r>
            <w:r>
              <w:rPr>
                <w:rFonts w:hint="eastAsia" w:ascii="仿宋" w:hAnsi="仿宋" w:eastAsia="仿宋" w:cs="仿宋"/>
                <w:color w:val="auto"/>
                <w:lang w:val="en-US" w:eastAsia="zh-CN"/>
              </w:rPr>
              <w:t>人员公司</w:t>
            </w:r>
            <w:r>
              <w:rPr>
                <w:rFonts w:hint="eastAsia" w:ascii="仿宋" w:hAnsi="仿宋" w:eastAsia="仿宋" w:cs="仿宋"/>
                <w:color w:val="auto"/>
              </w:rPr>
              <w:t>进行严格的资质审查，</w:t>
            </w:r>
            <w:r>
              <w:rPr>
                <w:rFonts w:hint="eastAsia" w:ascii="仿宋" w:hAnsi="仿宋" w:eastAsia="仿宋" w:cs="仿宋"/>
                <w:color w:val="auto"/>
                <w:lang w:val="en-US" w:eastAsia="zh-CN"/>
              </w:rPr>
              <w:t>不能</w:t>
            </w:r>
            <w:r>
              <w:rPr>
                <w:rFonts w:hint="eastAsia" w:ascii="仿宋" w:hAnsi="仿宋" w:eastAsia="仿宋" w:cs="仿宋"/>
                <w:color w:val="auto"/>
              </w:rPr>
              <w:t>确保</w:t>
            </w:r>
            <w:r>
              <w:rPr>
                <w:rFonts w:hint="eastAsia" w:ascii="仿宋" w:hAnsi="仿宋" w:eastAsia="仿宋" w:cs="仿宋"/>
                <w:color w:val="auto"/>
                <w:lang w:val="en-US" w:eastAsia="zh-CN"/>
              </w:rPr>
              <w:t>专业攀岩</w:t>
            </w:r>
            <w:r>
              <w:rPr>
                <w:rFonts w:hint="eastAsia" w:ascii="仿宋" w:hAnsi="仿宋" w:eastAsia="仿宋" w:cs="仿宋"/>
                <w:color w:val="auto"/>
              </w:rPr>
              <w:t>人员的专业水平及工作纪律</w:t>
            </w:r>
            <w:r>
              <w:rPr>
                <w:rFonts w:hint="eastAsia" w:ascii="仿宋" w:hAnsi="仿宋" w:eastAsia="仿宋" w:cs="仿宋"/>
                <w:color w:val="auto"/>
                <w:lang w:val="en-US" w:eastAsia="zh-CN"/>
              </w:rPr>
              <w:t>的</w:t>
            </w:r>
            <w:r>
              <w:rPr>
                <w:rFonts w:hint="eastAsia" w:ascii="仿宋" w:hAnsi="仿宋" w:eastAsia="仿宋" w:cs="仿宋"/>
                <w:bCs/>
                <w:color w:val="auto"/>
                <w:szCs w:val="21"/>
                <w:lang w:val="en-US" w:eastAsia="zh-CN"/>
              </w:rPr>
              <w:t>，得0分。</w:t>
            </w:r>
          </w:p>
          <w:p>
            <w:pPr>
              <w:widowControl/>
              <w:snapToGrid w:val="0"/>
              <w:spacing w:line="300" w:lineRule="exact"/>
              <w:jc w:val="left"/>
              <w:rPr>
                <w:rFonts w:hint="eastAsia" w:ascii="方正仿宋_GBK" w:hAnsi="方正仿宋_GBK" w:eastAsia="方正仿宋_GBK" w:cs="方正仿宋_GBK"/>
                <w:bCs/>
                <w:color w:val="auto"/>
                <w:szCs w:val="21"/>
              </w:rPr>
            </w:pPr>
            <w:r>
              <w:rPr>
                <w:rFonts w:hint="eastAsia" w:ascii="方正仿宋_GBK" w:hAnsi="方正仿宋_GBK" w:eastAsia="方正仿宋_GBK" w:cs="方正仿宋_GBK"/>
                <w:bCs/>
                <w:color w:val="auto"/>
                <w:szCs w:val="21"/>
              </w:rPr>
              <w:t>（</w:t>
            </w:r>
            <w:r>
              <w:rPr>
                <w:rFonts w:hint="eastAsia" w:ascii="方正仿宋_GBK" w:hAnsi="方正仿宋_GBK" w:eastAsia="方正仿宋_GBK" w:cs="方正仿宋_GBK"/>
                <w:bCs/>
                <w:color w:val="auto"/>
                <w:szCs w:val="21"/>
                <w:lang w:val="en-US" w:eastAsia="zh-CN"/>
              </w:rPr>
              <w:t>5</w:t>
            </w:r>
            <w:r>
              <w:rPr>
                <w:rFonts w:hint="eastAsia" w:ascii="方正仿宋_GBK" w:hAnsi="方正仿宋_GBK" w:eastAsia="方正仿宋_GBK" w:cs="方正仿宋_GBK"/>
                <w:bCs/>
                <w:color w:val="auto"/>
                <w:szCs w:val="21"/>
              </w:rPr>
              <w:t>）施工网络进度计划及保证工期的措施；制定详细、可行的施工网络进度计划，明确各阶段的任务和时间节点，提出有效的保证工期措施，</w:t>
            </w:r>
            <w:r>
              <w:rPr>
                <w:rFonts w:hint="eastAsia" w:ascii="方正仿宋_GBK" w:hAnsi="方正仿宋_GBK" w:eastAsia="方正仿宋_GBK" w:cs="方正仿宋_GBK"/>
                <w:bCs/>
                <w:color w:val="auto"/>
                <w:szCs w:val="21"/>
                <w:lang w:val="en-US" w:eastAsia="zh-CN"/>
              </w:rPr>
              <w:t>能够</w:t>
            </w:r>
            <w:r>
              <w:rPr>
                <w:rFonts w:hint="eastAsia" w:ascii="方正仿宋_GBK" w:hAnsi="方正仿宋_GBK" w:eastAsia="方正仿宋_GBK" w:cs="方正仿宋_GBK"/>
                <w:bCs/>
                <w:color w:val="auto"/>
                <w:szCs w:val="21"/>
              </w:rPr>
              <w:t>提前完工</w:t>
            </w:r>
            <w:r>
              <w:rPr>
                <w:rFonts w:hint="eastAsia" w:ascii="方正仿宋_GBK" w:hAnsi="方正仿宋_GBK" w:eastAsia="方正仿宋_GBK" w:cs="方正仿宋_GBK"/>
                <w:bCs/>
                <w:color w:val="auto"/>
                <w:szCs w:val="21"/>
                <w:lang w:val="en-US" w:eastAsia="zh-CN"/>
              </w:rPr>
              <w:t>，得4分；</w:t>
            </w:r>
            <w:r>
              <w:rPr>
                <w:rFonts w:hint="eastAsia" w:ascii="方正仿宋_GBK" w:hAnsi="方正仿宋_GBK" w:eastAsia="方正仿宋_GBK" w:cs="方正仿宋_GBK"/>
                <w:bCs/>
                <w:color w:val="auto"/>
                <w:szCs w:val="21"/>
              </w:rPr>
              <w:t>制定施工网络进度计划，提出有效的保证工期措施，确保工程按期完成</w:t>
            </w:r>
            <w:r>
              <w:rPr>
                <w:rFonts w:hint="eastAsia" w:ascii="方正仿宋_GBK" w:hAnsi="方正仿宋_GBK" w:eastAsia="方正仿宋_GBK" w:cs="方正仿宋_GBK"/>
                <w:bCs/>
                <w:color w:val="auto"/>
                <w:szCs w:val="21"/>
                <w:lang w:val="en-US" w:eastAsia="zh-CN"/>
              </w:rPr>
              <w:t>，得2分；</w:t>
            </w:r>
            <w:r>
              <w:rPr>
                <w:rFonts w:hint="eastAsia" w:ascii="方正仿宋_GBK" w:hAnsi="方正仿宋_GBK" w:eastAsia="方正仿宋_GBK" w:cs="方正仿宋_GBK"/>
                <w:bCs/>
                <w:color w:val="auto"/>
                <w:szCs w:val="21"/>
              </w:rPr>
              <w:t>制定施工网络进度计划，提出</w:t>
            </w:r>
            <w:r>
              <w:rPr>
                <w:rFonts w:hint="eastAsia" w:ascii="方正仿宋_GBK" w:hAnsi="方正仿宋_GBK" w:eastAsia="方正仿宋_GBK" w:cs="方正仿宋_GBK"/>
                <w:bCs/>
                <w:color w:val="auto"/>
                <w:szCs w:val="21"/>
                <w:lang w:val="en-US" w:eastAsia="zh-CN"/>
              </w:rPr>
              <w:t>的</w:t>
            </w:r>
            <w:r>
              <w:rPr>
                <w:rFonts w:hint="eastAsia" w:ascii="方正仿宋_GBK" w:hAnsi="方正仿宋_GBK" w:eastAsia="方正仿宋_GBK" w:cs="方正仿宋_GBK"/>
                <w:bCs/>
                <w:color w:val="auto"/>
                <w:szCs w:val="21"/>
              </w:rPr>
              <w:t>工期措施</w:t>
            </w:r>
            <w:r>
              <w:rPr>
                <w:rFonts w:hint="eastAsia" w:ascii="方正仿宋_GBK" w:hAnsi="方正仿宋_GBK" w:eastAsia="方正仿宋_GBK" w:cs="方正仿宋_GBK"/>
                <w:bCs/>
                <w:color w:val="auto"/>
                <w:szCs w:val="21"/>
                <w:lang w:val="en-US" w:eastAsia="zh-CN"/>
              </w:rPr>
              <w:t>不科学合理</w:t>
            </w:r>
            <w:r>
              <w:rPr>
                <w:rFonts w:hint="eastAsia" w:ascii="方正仿宋_GBK" w:hAnsi="方正仿宋_GBK" w:eastAsia="方正仿宋_GBK" w:cs="方正仿宋_GBK"/>
                <w:bCs/>
                <w:color w:val="auto"/>
                <w:szCs w:val="21"/>
              </w:rPr>
              <w:t>，</w:t>
            </w:r>
            <w:r>
              <w:rPr>
                <w:rFonts w:hint="eastAsia" w:ascii="方正仿宋_GBK" w:hAnsi="方正仿宋_GBK" w:eastAsia="方正仿宋_GBK" w:cs="方正仿宋_GBK"/>
                <w:bCs/>
                <w:color w:val="auto"/>
                <w:szCs w:val="21"/>
                <w:lang w:val="en-US" w:eastAsia="zh-CN"/>
              </w:rPr>
              <w:t>不能</w:t>
            </w:r>
            <w:r>
              <w:rPr>
                <w:rFonts w:hint="eastAsia" w:ascii="方正仿宋_GBK" w:hAnsi="方正仿宋_GBK" w:eastAsia="方正仿宋_GBK" w:cs="方正仿宋_GBK"/>
                <w:bCs/>
                <w:color w:val="auto"/>
                <w:szCs w:val="21"/>
              </w:rPr>
              <w:t>确保工程按期完成</w:t>
            </w:r>
            <w:r>
              <w:rPr>
                <w:rFonts w:hint="eastAsia" w:ascii="方正仿宋_GBK" w:hAnsi="方正仿宋_GBK" w:eastAsia="方正仿宋_GBK" w:cs="方正仿宋_GBK"/>
                <w:bCs/>
                <w:color w:val="auto"/>
                <w:szCs w:val="21"/>
                <w:lang w:val="en-US" w:eastAsia="zh-CN"/>
              </w:rPr>
              <w:t>的，得0分。</w:t>
            </w:r>
          </w:p>
        </w:tc>
        <w:tc>
          <w:tcPr>
            <w:tcW w:w="1035"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left"/>
              <w:rPr>
                <w:rFonts w:hint="eastAsia" w:ascii="方正仿宋_GBK" w:hAnsi="方正仿宋_GBK" w:eastAsia="方正仿宋_GBK" w:cs="方正仿宋_GBK"/>
                <w:b/>
                <w:kern w:val="0"/>
                <w:szCs w:val="21"/>
              </w:rPr>
            </w:pPr>
            <w:r>
              <w:rPr>
                <w:rFonts w:hint="eastAsia" w:ascii="方正仿宋_GBK" w:hAnsi="方正仿宋_GBK" w:eastAsia="方正仿宋_GBK" w:cs="方正仿宋_GBK"/>
                <w:bCs/>
                <w:szCs w:val="21"/>
              </w:rPr>
              <w:t>根据投标人提供的土建安装施工组织设计方案横向比较。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9" w:type="pct"/>
            <w:vMerge w:val="continue"/>
            <w:tcBorders>
              <w:left w:val="single" w:color="auto" w:sz="4" w:space="0"/>
              <w:right w:val="single" w:color="auto" w:sz="4" w:space="0"/>
            </w:tcBorders>
            <w:vAlign w:val="center"/>
          </w:tcPr>
          <w:p>
            <w:pPr>
              <w:widowControl/>
              <w:snapToGrid w:val="0"/>
              <w:spacing w:line="300" w:lineRule="exact"/>
              <w:jc w:val="center"/>
              <w:rPr>
                <w:rFonts w:hint="eastAsia" w:ascii="方正仿宋_GBK" w:hAnsi="方正仿宋_GBK" w:eastAsia="方正仿宋_GBK" w:cs="方正仿宋_GBK"/>
                <w:b/>
                <w:kern w:val="0"/>
                <w:szCs w:val="21"/>
              </w:rPr>
            </w:pPr>
          </w:p>
        </w:tc>
        <w:tc>
          <w:tcPr>
            <w:tcW w:w="666" w:type="pct"/>
            <w:vMerge w:val="continue"/>
            <w:tcBorders>
              <w:left w:val="single" w:color="auto" w:sz="4" w:space="0"/>
              <w:right w:val="single" w:color="auto" w:sz="4" w:space="0"/>
            </w:tcBorders>
            <w:vAlign w:val="center"/>
          </w:tcPr>
          <w:p>
            <w:pPr>
              <w:pStyle w:val="13"/>
              <w:ind w:firstLine="0" w:firstLineChars="0"/>
              <w:rPr>
                <w:rFonts w:hint="eastAsia" w:ascii="方正仿宋_GBK" w:hAnsi="方正仿宋_GBK" w:eastAsia="方正仿宋_GBK" w:cs="方正仿宋_GBK"/>
                <w:b/>
                <w:kern w:val="0"/>
                <w:szCs w:val="21"/>
              </w:rPr>
            </w:pPr>
          </w:p>
        </w:tc>
        <w:tc>
          <w:tcPr>
            <w:tcW w:w="739"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土建安装安全保障措施</w:t>
            </w:r>
          </w:p>
          <w:p>
            <w:pPr>
              <w:widowControl/>
              <w:snapToGrid w:val="0"/>
              <w:spacing w:line="300" w:lineRule="exact"/>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（10分）</w:t>
            </w:r>
          </w:p>
        </w:tc>
        <w:tc>
          <w:tcPr>
            <w:tcW w:w="2277" w:type="pct"/>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left"/>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安全、质量保证措施：</w:t>
            </w:r>
          </w:p>
          <w:p>
            <w:pPr>
              <w:numPr>
                <w:ilvl w:val="0"/>
                <w:numId w:val="5"/>
              </w:numPr>
              <w:snapToGrid w:val="0"/>
              <w:spacing w:line="300" w:lineRule="exact"/>
              <w:jc w:val="left"/>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有完善</w:t>
            </w:r>
            <w:r>
              <w:rPr>
                <w:rFonts w:hint="eastAsia" w:ascii="方正仿宋_GBK" w:hAnsi="方正仿宋_GBK" w:eastAsia="方正仿宋_GBK" w:cs="方正仿宋_GBK"/>
                <w:color w:val="auto"/>
                <w:szCs w:val="21"/>
                <w:lang w:val="en-US" w:eastAsia="zh-CN"/>
              </w:rPr>
              <w:t>的</w:t>
            </w:r>
            <w:r>
              <w:rPr>
                <w:rFonts w:hint="eastAsia" w:ascii="方正仿宋_GBK" w:hAnsi="方正仿宋_GBK" w:eastAsia="方正仿宋_GBK" w:cs="方正仿宋_GBK"/>
                <w:color w:val="auto"/>
                <w:szCs w:val="21"/>
              </w:rPr>
              <w:t>安全生产责任制，明确各层级岗位安全职责，得</w:t>
            </w:r>
            <w:r>
              <w:rPr>
                <w:rFonts w:hint="eastAsia" w:ascii="方正仿宋_GBK" w:hAnsi="方正仿宋_GBK" w:eastAsia="方正仿宋_GBK" w:cs="方正仿宋_GBK"/>
                <w:color w:val="auto"/>
                <w:szCs w:val="21"/>
                <w:lang w:val="en-US" w:eastAsia="zh-CN"/>
              </w:rPr>
              <w:t>3</w:t>
            </w:r>
            <w:r>
              <w:rPr>
                <w:rFonts w:hint="eastAsia" w:ascii="方正仿宋_GBK" w:hAnsi="方正仿宋_GBK" w:eastAsia="方正仿宋_GBK" w:cs="方正仿宋_GBK"/>
                <w:color w:val="auto"/>
                <w:szCs w:val="21"/>
              </w:rPr>
              <w:t>分，制度有缺或不清</w:t>
            </w:r>
            <w:r>
              <w:rPr>
                <w:rFonts w:hint="eastAsia" w:ascii="方正仿宋_GBK" w:hAnsi="方正仿宋_GBK" w:eastAsia="方正仿宋_GBK" w:cs="方正仿宋_GBK"/>
                <w:color w:val="auto"/>
                <w:szCs w:val="21"/>
                <w:lang w:val="en-US" w:eastAsia="zh-CN"/>
              </w:rPr>
              <w:t>的，得1</w:t>
            </w:r>
            <w:r>
              <w:rPr>
                <w:rFonts w:hint="eastAsia" w:ascii="方正仿宋_GBK" w:hAnsi="方正仿宋_GBK" w:eastAsia="方正仿宋_GBK" w:cs="方正仿宋_GBK"/>
                <w:color w:val="auto"/>
                <w:szCs w:val="21"/>
              </w:rPr>
              <w:t>分</w:t>
            </w:r>
            <w:r>
              <w:rPr>
                <w:rFonts w:hint="eastAsia" w:ascii="方正仿宋_GBK" w:hAnsi="方正仿宋_GBK" w:eastAsia="方正仿宋_GBK" w:cs="方正仿宋_GBK"/>
                <w:color w:val="auto"/>
                <w:szCs w:val="21"/>
                <w:lang w:eastAsia="zh-CN"/>
              </w:rPr>
              <w:t>；</w:t>
            </w:r>
            <w:r>
              <w:rPr>
                <w:rFonts w:hint="eastAsia" w:ascii="方正仿宋_GBK" w:hAnsi="方正仿宋_GBK" w:eastAsia="方正仿宋_GBK" w:cs="方正仿宋_GBK"/>
                <w:color w:val="auto"/>
                <w:szCs w:val="21"/>
                <w:lang w:val="en-US" w:eastAsia="zh-CN"/>
              </w:rPr>
              <w:t>缺少</w:t>
            </w:r>
            <w:r>
              <w:rPr>
                <w:rFonts w:hint="eastAsia" w:ascii="方正仿宋_GBK" w:hAnsi="方正仿宋_GBK" w:eastAsia="方正仿宋_GBK" w:cs="方正仿宋_GBK"/>
                <w:color w:val="auto"/>
                <w:szCs w:val="21"/>
              </w:rPr>
              <w:t>安全生产责任制</w:t>
            </w:r>
            <w:r>
              <w:rPr>
                <w:rFonts w:hint="eastAsia" w:ascii="方正仿宋_GBK" w:hAnsi="方正仿宋_GBK" w:eastAsia="方正仿宋_GBK" w:cs="方正仿宋_GBK"/>
                <w:color w:val="auto"/>
                <w:szCs w:val="21"/>
                <w:lang w:val="en-US" w:eastAsia="zh-CN"/>
              </w:rPr>
              <w:t>度的，得0分</w:t>
            </w:r>
            <w:r>
              <w:rPr>
                <w:rFonts w:hint="eastAsia" w:ascii="方正仿宋_GBK" w:hAnsi="方正仿宋_GBK" w:eastAsia="方正仿宋_GBK" w:cs="方正仿宋_GBK"/>
                <w:color w:val="auto"/>
                <w:szCs w:val="21"/>
              </w:rPr>
              <w:t>。</w:t>
            </w:r>
          </w:p>
          <w:p>
            <w:pPr>
              <w:numPr>
                <w:ilvl w:val="0"/>
                <w:numId w:val="5"/>
              </w:numPr>
              <w:snapToGrid w:val="0"/>
              <w:spacing w:line="300" w:lineRule="exact"/>
              <w:jc w:val="left"/>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应急救援预案详实，针对多种事故有预案，明确响应流程等，得</w:t>
            </w:r>
            <w:r>
              <w:rPr>
                <w:rFonts w:hint="eastAsia" w:ascii="方正仿宋_GBK" w:hAnsi="方正仿宋_GBK" w:eastAsia="方正仿宋_GBK" w:cs="方正仿宋_GBK"/>
                <w:color w:val="auto"/>
                <w:szCs w:val="21"/>
                <w:lang w:val="en-US" w:eastAsia="zh-CN"/>
              </w:rPr>
              <w:t>3</w:t>
            </w:r>
            <w:r>
              <w:rPr>
                <w:rFonts w:hint="eastAsia" w:ascii="方正仿宋_GBK" w:hAnsi="方正仿宋_GBK" w:eastAsia="方正仿宋_GBK" w:cs="方正仿宋_GBK"/>
                <w:color w:val="auto"/>
                <w:szCs w:val="21"/>
              </w:rPr>
              <w:t>分</w:t>
            </w:r>
            <w:r>
              <w:rPr>
                <w:rFonts w:hint="eastAsia" w:ascii="方正仿宋_GBK" w:hAnsi="方正仿宋_GBK" w:eastAsia="方正仿宋_GBK" w:cs="方正仿宋_GBK"/>
                <w:color w:val="auto"/>
                <w:szCs w:val="21"/>
                <w:lang w:eastAsia="zh-CN"/>
              </w:rPr>
              <w:t>；</w:t>
            </w:r>
            <w:r>
              <w:rPr>
                <w:rFonts w:hint="eastAsia" w:ascii="方正仿宋_GBK" w:hAnsi="方正仿宋_GBK" w:eastAsia="方正仿宋_GBK" w:cs="方正仿宋_GBK"/>
                <w:color w:val="auto"/>
                <w:szCs w:val="21"/>
              </w:rPr>
              <w:t>简单缺关键信息</w:t>
            </w:r>
            <w:r>
              <w:rPr>
                <w:rFonts w:hint="eastAsia" w:ascii="方正仿宋_GBK" w:hAnsi="方正仿宋_GBK" w:eastAsia="方正仿宋_GBK" w:cs="方正仿宋_GBK"/>
                <w:color w:val="auto"/>
                <w:szCs w:val="21"/>
                <w:lang w:val="en-US" w:eastAsia="zh-CN"/>
              </w:rPr>
              <w:t>的，得1</w:t>
            </w:r>
            <w:r>
              <w:rPr>
                <w:rFonts w:hint="eastAsia" w:ascii="方正仿宋_GBK" w:hAnsi="方正仿宋_GBK" w:eastAsia="方正仿宋_GBK" w:cs="方正仿宋_GBK"/>
                <w:color w:val="auto"/>
                <w:szCs w:val="21"/>
              </w:rPr>
              <w:t>分</w:t>
            </w:r>
            <w:r>
              <w:rPr>
                <w:rFonts w:hint="eastAsia" w:ascii="方正仿宋_GBK" w:hAnsi="方正仿宋_GBK" w:eastAsia="方正仿宋_GBK" w:cs="方正仿宋_GBK"/>
                <w:color w:val="auto"/>
                <w:szCs w:val="21"/>
                <w:lang w:eastAsia="zh-CN"/>
              </w:rPr>
              <w:t>；</w:t>
            </w:r>
            <w:r>
              <w:rPr>
                <w:rFonts w:hint="eastAsia" w:ascii="方正仿宋_GBK" w:hAnsi="方正仿宋_GBK" w:eastAsia="方正仿宋_GBK" w:cs="方正仿宋_GBK"/>
                <w:color w:val="auto"/>
                <w:szCs w:val="21"/>
                <w:lang w:val="en-US" w:eastAsia="zh-CN"/>
              </w:rPr>
              <w:t>无应急预案的，得0分。</w:t>
            </w:r>
          </w:p>
          <w:p>
            <w:pPr>
              <w:numPr>
                <w:ilvl w:val="0"/>
                <w:numId w:val="5"/>
              </w:numPr>
              <w:snapToGrid w:val="0"/>
              <w:spacing w:line="300" w:lineRule="exact"/>
              <w:jc w:val="left"/>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安全检查与隐患排查制度全，含检查频次、流程、整改跟踪,得</w:t>
            </w:r>
            <w:r>
              <w:rPr>
                <w:rFonts w:hint="eastAsia" w:ascii="方正仿宋_GBK" w:hAnsi="方正仿宋_GBK" w:eastAsia="方正仿宋_GBK" w:cs="方正仿宋_GBK"/>
                <w:color w:val="auto"/>
                <w:szCs w:val="21"/>
                <w:lang w:val="en-US" w:eastAsia="zh-CN"/>
              </w:rPr>
              <w:t>2</w:t>
            </w:r>
            <w:r>
              <w:rPr>
                <w:rFonts w:hint="eastAsia" w:ascii="方正仿宋_GBK" w:hAnsi="方正仿宋_GBK" w:eastAsia="方正仿宋_GBK" w:cs="方正仿宋_GBK"/>
                <w:color w:val="auto"/>
                <w:szCs w:val="21"/>
              </w:rPr>
              <w:t>分</w:t>
            </w:r>
            <w:r>
              <w:rPr>
                <w:rFonts w:hint="eastAsia" w:ascii="方正仿宋_GBK" w:hAnsi="方正仿宋_GBK" w:eastAsia="方正仿宋_GBK" w:cs="方正仿宋_GBK"/>
                <w:color w:val="auto"/>
                <w:szCs w:val="21"/>
                <w:lang w:eastAsia="zh-CN"/>
              </w:rPr>
              <w:t>，</w:t>
            </w:r>
            <w:r>
              <w:rPr>
                <w:rFonts w:hint="eastAsia" w:ascii="方正仿宋_GBK" w:hAnsi="方正仿宋_GBK" w:eastAsia="方正仿宋_GBK" w:cs="方正仿宋_GBK"/>
                <w:color w:val="auto"/>
                <w:szCs w:val="21"/>
              </w:rPr>
              <w:t>缺关键环节或不明</w:t>
            </w:r>
            <w:r>
              <w:rPr>
                <w:rFonts w:hint="eastAsia" w:ascii="方正仿宋_GBK" w:hAnsi="方正仿宋_GBK" w:eastAsia="方正仿宋_GBK" w:cs="方正仿宋_GBK"/>
                <w:color w:val="auto"/>
                <w:szCs w:val="21"/>
                <w:lang w:val="en-US" w:eastAsia="zh-CN"/>
              </w:rPr>
              <w:t>的，得1</w:t>
            </w:r>
            <w:r>
              <w:rPr>
                <w:rFonts w:hint="eastAsia" w:ascii="方正仿宋_GBK" w:hAnsi="方正仿宋_GBK" w:eastAsia="方正仿宋_GBK" w:cs="方正仿宋_GBK"/>
                <w:color w:val="auto"/>
                <w:szCs w:val="21"/>
              </w:rPr>
              <w:t>分。</w:t>
            </w:r>
            <w:r>
              <w:rPr>
                <w:rFonts w:hint="eastAsia" w:ascii="方正仿宋_GBK" w:hAnsi="方正仿宋_GBK" w:eastAsia="方正仿宋_GBK" w:cs="方正仿宋_GBK"/>
                <w:color w:val="auto"/>
                <w:szCs w:val="21"/>
                <w:lang w:val="en-US" w:eastAsia="zh-CN"/>
              </w:rPr>
              <w:t>缺少</w:t>
            </w:r>
            <w:r>
              <w:rPr>
                <w:rFonts w:hint="eastAsia" w:ascii="方正仿宋_GBK" w:hAnsi="方正仿宋_GBK" w:eastAsia="方正仿宋_GBK" w:cs="方正仿宋_GBK"/>
                <w:color w:val="auto"/>
                <w:szCs w:val="21"/>
              </w:rPr>
              <w:t>安全检查与隐患排查制度</w:t>
            </w:r>
            <w:r>
              <w:rPr>
                <w:rFonts w:hint="eastAsia" w:ascii="方正仿宋_GBK" w:hAnsi="方正仿宋_GBK" w:eastAsia="方正仿宋_GBK" w:cs="方正仿宋_GBK"/>
                <w:color w:val="auto"/>
                <w:szCs w:val="21"/>
                <w:lang w:val="en-US" w:eastAsia="zh-CN"/>
              </w:rPr>
              <w:t>措施方案的，得0分。</w:t>
            </w:r>
          </w:p>
          <w:p>
            <w:pPr>
              <w:numPr>
                <w:ilvl w:val="0"/>
                <w:numId w:val="5"/>
              </w:numPr>
              <w:snapToGrid w:val="0"/>
              <w:spacing w:line="300" w:lineRule="exact"/>
              <w:ind w:left="0" w:leftChars="0" w:firstLine="0" w:firstLineChars="0"/>
              <w:jc w:val="left"/>
              <w:rPr>
                <w:rFonts w:hint="default" w:ascii="方正仿宋_GBK" w:hAnsi="方正仿宋_GBK" w:eastAsia="方正仿宋_GBK" w:cs="方正仿宋_GBK"/>
                <w:color w:val="auto"/>
                <w:szCs w:val="21"/>
                <w:lang w:val="en-US" w:eastAsia="zh-CN"/>
              </w:rPr>
            </w:pPr>
            <w:r>
              <w:rPr>
                <w:rFonts w:hint="eastAsia" w:ascii="方正仿宋_GBK" w:hAnsi="方正仿宋_GBK" w:eastAsia="方正仿宋_GBK" w:cs="方正仿宋_GBK"/>
                <w:color w:val="auto"/>
                <w:szCs w:val="21"/>
              </w:rPr>
              <w:t xml:space="preserve">安全教育培训制度完善,含各类培训,计划合理得 </w:t>
            </w:r>
            <w:r>
              <w:rPr>
                <w:rFonts w:hint="eastAsia" w:ascii="方正仿宋_GBK" w:hAnsi="方正仿宋_GBK" w:eastAsia="方正仿宋_GBK" w:cs="方正仿宋_GBK"/>
                <w:color w:val="auto"/>
                <w:szCs w:val="21"/>
                <w:lang w:val="en-US" w:eastAsia="zh-CN"/>
              </w:rPr>
              <w:t>2</w:t>
            </w:r>
            <w:r>
              <w:rPr>
                <w:rFonts w:hint="eastAsia" w:ascii="方正仿宋_GBK" w:hAnsi="方正仿宋_GBK" w:eastAsia="方正仿宋_GBK" w:cs="方正仿宋_GBK"/>
                <w:color w:val="auto"/>
                <w:szCs w:val="21"/>
              </w:rPr>
              <w:t xml:space="preserve"> 分</w:t>
            </w:r>
            <w:r>
              <w:rPr>
                <w:rFonts w:hint="eastAsia" w:ascii="方正仿宋_GBK" w:hAnsi="方正仿宋_GBK" w:eastAsia="方正仿宋_GBK" w:cs="方正仿宋_GBK"/>
                <w:color w:val="auto"/>
                <w:szCs w:val="21"/>
                <w:lang w:eastAsia="zh-CN"/>
              </w:rPr>
              <w:t>；</w:t>
            </w:r>
            <w:r>
              <w:rPr>
                <w:rFonts w:hint="eastAsia" w:ascii="方正仿宋_GBK" w:hAnsi="方正仿宋_GBK" w:eastAsia="方正仿宋_GBK" w:cs="方正仿宋_GBK"/>
                <w:color w:val="auto"/>
                <w:szCs w:val="21"/>
              </w:rPr>
              <w:t>单薄无针对性</w:t>
            </w:r>
            <w:r>
              <w:rPr>
                <w:rFonts w:hint="eastAsia" w:ascii="方正仿宋_GBK" w:hAnsi="方正仿宋_GBK" w:eastAsia="方正仿宋_GBK" w:cs="方正仿宋_GBK"/>
                <w:color w:val="auto"/>
                <w:szCs w:val="21"/>
                <w:lang w:val="en-US" w:eastAsia="zh-CN"/>
              </w:rPr>
              <w:t>的，得1</w:t>
            </w:r>
            <w:r>
              <w:rPr>
                <w:rFonts w:hint="eastAsia" w:ascii="方正仿宋_GBK" w:hAnsi="方正仿宋_GBK" w:eastAsia="方正仿宋_GBK" w:cs="方正仿宋_GBK"/>
                <w:color w:val="auto"/>
                <w:szCs w:val="21"/>
              </w:rPr>
              <w:t>分</w:t>
            </w:r>
            <w:r>
              <w:rPr>
                <w:rFonts w:hint="eastAsia" w:ascii="方正仿宋_GBK" w:hAnsi="方正仿宋_GBK" w:eastAsia="方正仿宋_GBK" w:cs="方正仿宋_GBK"/>
                <w:color w:val="auto"/>
                <w:szCs w:val="21"/>
                <w:lang w:eastAsia="zh-CN"/>
              </w:rPr>
              <w:t>；</w:t>
            </w:r>
            <w:r>
              <w:rPr>
                <w:rFonts w:hint="eastAsia" w:ascii="方正仿宋_GBK" w:hAnsi="方正仿宋_GBK" w:eastAsia="方正仿宋_GBK" w:cs="方正仿宋_GBK"/>
                <w:color w:val="auto"/>
                <w:szCs w:val="21"/>
                <w:lang w:val="en-US" w:eastAsia="zh-CN"/>
              </w:rPr>
              <w:t>缺少培训制度计划的，得0分</w:t>
            </w:r>
            <w:r>
              <w:rPr>
                <w:rFonts w:hint="eastAsia" w:ascii="方正仿宋_GBK" w:hAnsi="方正仿宋_GBK" w:eastAsia="方正仿宋_GBK" w:cs="方正仿宋_GBK"/>
                <w:color w:val="auto"/>
                <w:szCs w:val="21"/>
              </w:rPr>
              <w:t>。</w:t>
            </w:r>
          </w:p>
        </w:tc>
        <w:tc>
          <w:tcPr>
            <w:tcW w:w="1035"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left"/>
              <w:rPr>
                <w:rFonts w:hint="eastAsia" w:ascii="方正仿宋_GBK" w:hAnsi="方正仿宋_GBK" w:eastAsia="方正仿宋_GBK" w:cs="方正仿宋_GBK"/>
                <w:b/>
                <w:kern w:val="0"/>
                <w:szCs w:val="21"/>
              </w:rPr>
            </w:pPr>
            <w:r>
              <w:rPr>
                <w:rFonts w:hint="eastAsia" w:ascii="方正仿宋_GBK" w:hAnsi="方正仿宋_GBK" w:eastAsia="方正仿宋_GBK" w:cs="方正仿宋_GBK"/>
                <w:bCs/>
                <w:szCs w:val="21"/>
              </w:rPr>
              <w:t>根据报价人提供的土建安装安全保障措施方案横向比较。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279" w:type="pct"/>
            <w:vMerge w:val="continue"/>
            <w:tcBorders>
              <w:left w:val="single" w:color="auto" w:sz="4" w:space="0"/>
              <w:bottom w:val="single" w:color="auto" w:sz="4" w:space="0"/>
              <w:right w:val="single" w:color="auto" w:sz="4" w:space="0"/>
            </w:tcBorders>
            <w:vAlign w:val="center"/>
          </w:tcPr>
          <w:p>
            <w:pPr>
              <w:widowControl/>
              <w:snapToGrid w:val="0"/>
              <w:spacing w:line="300" w:lineRule="exact"/>
              <w:jc w:val="center"/>
              <w:rPr>
                <w:rFonts w:hint="eastAsia" w:ascii="方正仿宋_GBK" w:hAnsi="方正仿宋_GBK" w:eastAsia="方正仿宋_GBK" w:cs="方正仿宋_GBK"/>
                <w:b/>
                <w:kern w:val="0"/>
                <w:szCs w:val="21"/>
              </w:rPr>
            </w:pPr>
          </w:p>
        </w:tc>
        <w:tc>
          <w:tcPr>
            <w:tcW w:w="666" w:type="pct"/>
            <w:vMerge w:val="continue"/>
            <w:tcBorders>
              <w:left w:val="single" w:color="auto" w:sz="4" w:space="0"/>
              <w:bottom w:val="single" w:color="auto" w:sz="4" w:space="0"/>
              <w:right w:val="single" w:color="auto" w:sz="4" w:space="0"/>
            </w:tcBorders>
            <w:vAlign w:val="center"/>
          </w:tcPr>
          <w:p>
            <w:pPr>
              <w:pStyle w:val="13"/>
              <w:ind w:firstLine="0" w:firstLineChars="0"/>
              <w:rPr>
                <w:rFonts w:hint="eastAsia" w:ascii="方正仿宋_GBK" w:hAnsi="方正仿宋_GBK" w:eastAsia="方正仿宋_GBK" w:cs="方正仿宋_GBK"/>
                <w:b/>
                <w:kern w:val="0"/>
                <w:szCs w:val="21"/>
              </w:rPr>
            </w:pPr>
          </w:p>
        </w:tc>
        <w:tc>
          <w:tcPr>
            <w:tcW w:w="739" w:type="pct"/>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exact"/>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设备质保措施</w:t>
            </w:r>
          </w:p>
          <w:p>
            <w:pPr>
              <w:widowControl/>
              <w:snapToGrid w:val="0"/>
              <w:spacing w:line="300" w:lineRule="exact"/>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w:t>
            </w:r>
            <w:r>
              <w:rPr>
                <w:rFonts w:hint="eastAsia" w:ascii="方正仿宋_GBK" w:hAnsi="方正仿宋_GBK" w:eastAsia="方正仿宋_GBK" w:cs="方正仿宋_GBK"/>
                <w:bCs/>
                <w:szCs w:val="21"/>
                <w:lang w:val="en-US" w:eastAsia="zh-CN"/>
              </w:rPr>
              <w:t>8</w:t>
            </w:r>
            <w:r>
              <w:rPr>
                <w:rFonts w:hint="eastAsia" w:ascii="方正仿宋_GBK" w:hAnsi="方正仿宋_GBK" w:eastAsia="方正仿宋_GBK" w:cs="方正仿宋_GBK"/>
                <w:bCs/>
                <w:szCs w:val="21"/>
              </w:rPr>
              <w:t>分）</w:t>
            </w:r>
          </w:p>
        </w:tc>
        <w:tc>
          <w:tcPr>
            <w:tcW w:w="2277" w:type="pct"/>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left"/>
              <w:rPr>
                <w:rFonts w:hint="eastAsia" w:ascii="方正仿宋_GBK" w:hAnsi="方正仿宋_GBK" w:eastAsia="方正仿宋_GBK" w:cs="方正仿宋_GBK"/>
                <w:b/>
                <w:color w:val="auto"/>
                <w:kern w:val="0"/>
                <w:szCs w:val="21"/>
              </w:rPr>
            </w:pPr>
            <w:r>
              <w:rPr>
                <w:rFonts w:hint="eastAsia" w:ascii="方正仿宋_GBK" w:hAnsi="方正仿宋_GBK" w:eastAsia="方正仿宋_GBK" w:cs="方正仿宋_GBK"/>
                <w:color w:val="auto"/>
                <w:szCs w:val="21"/>
                <w:lang w:val="en-US" w:eastAsia="zh-CN"/>
              </w:rPr>
              <w:t>提供</w:t>
            </w:r>
            <w:r>
              <w:rPr>
                <w:rFonts w:hint="eastAsia" w:ascii="方正仿宋_GBK" w:hAnsi="方正仿宋_GBK" w:eastAsia="方正仿宋_GBK" w:cs="方正仿宋_GBK"/>
                <w:color w:val="auto"/>
                <w:szCs w:val="21"/>
              </w:rPr>
              <w:t>5年质保期内离线设备或数据异常设备具体明确的现场排查、维修或更换措施和组织保障</w:t>
            </w:r>
            <w:r>
              <w:rPr>
                <w:rFonts w:hint="eastAsia" w:ascii="方正仿宋_GBK" w:hAnsi="方正仿宋_GBK" w:eastAsia="方正仿宋_GBK" w:cs="方正仿宋_GBK"/>
                <w:color w:val="auto"/>
                <w:szCs w:val="21"/>
                <w:lang w:val="en-US" w:eastAsia="zh-CN"/>
              </w:rPr>
              <w:t>措施，且承诺24小时内响应恢复设备正常工作的</w:t>
            </w:r>
            <w:r>
              <w:rPr>
                <w:rFonts w:hint="eastAsia" w:ascii="方正仿宋_GBK" w:hAnsi="方正仿宋_GBK" w:eastAsia="方正仿宋_GBK" w:cs="方正仿宋_GBK"/>
                <w:color w:val="auto"/>
                <w:szCs w:val="21"/>
              </w:rPr>
              <w:t>，得</w:t>
            </w:r>
            <w:r>
              <w:rPr>
                <w:rFonts w:hint="eastAsia" w:ascii="方正仿宋_GBK" w:hAnsi="方正仿宋_GBK" w:eastAsia="方正仿宋_GBK" w:cs="方正仿宋_GBK"/>
                <w:color w:val="auto"/>
                <w:szCs w:val="21"/>
                <w:lang w:val="en-US" w:eastAsia="zh-CN"/>
              </w:rPr>
              <w:t>8</w:t>
            </w:r>
            <w:r>
              <w:rPr>
                <w:rFonts w:hint="eastAsia" w:ascii="方正仿宋_GBK" w:hAnsi="方正仿宋_GBK" w:eastAsia="方正仿宋_GBK" w:cs="方正仿宋_GBK"/>
                <w:color w:val="auto"/>
                <w:szCs w:val="21"/>
              </w:rPr>
              <w:t>分；</w:t>
            </w:r>
            <w:r>
              <w:rPr>
                <w:rFonts w:hint="eastAsia" w:ascii="方正仿宋_GBK" w:hAnsi="方正仿宋_GBK" w:eastAsia="方正仿宋_GBK" w:cs="方正仿宋_GBK"/>
                <w:color w:val="auto"/>
                <w:szCs w:val="21"/>
                <w:lang w:val="en-US" w:eastAsia="zh-CN"/>
              </w:rPr>
              <w:t>提供</w:t>
            </w:r>
            <w:r>
              <w:rPr>
                <w:rFonts w:hint="eastAsia" w:ascii="方正仿宋_GBK" w:hAnsi="方正仿宋_GBK" w:eastAsia="方正仿宋_GBK" w:cs="方正仿宋_GBK"/>
                <w:color w:val="auto"/>
                <w:szCs w:val="21"/>
              </w:rPr>
              <w:t>5年质保期内离线设备或数据异常设备具体明确的现场排查、维修或更换措施和组织保障</w:t>
            </w:r>
            <w:r>
              <w:rPr>
                <w:rFonts w:hint="eastAsia" w:ascii="方正仿宋_GBK" w:hAnsi="方正仿宋_GBK" w:eastAsia="方正仿宋_GBK" w:cs="方正仿宋_GBK"/>
                <w:color w:val="auto"/>
                <w:szCs w:val="21"/>
                <w:lang w:val="en-US" w:eastAsia="zh-CN"/>
              </w:rPr>
              <w:t>措施，且承诺48小时内响应恢复设备正常工作的</w:t>
            </w:r>
            <w:r>
              <w:rPr>
                <w:rFonts w:hint="eastAsia" w:ascii="方正仿宋_GBK" w:hAnsi="方正仿宋_GBK" w:eastAsia="方正仿宋_GBK" w:cs="方正仿宋_GBK"/>
                <w:color w:val="auto"/>
                <w:szCs w:val="21"/>
              </w:rPr>
              <w:t>，得</w:t>
            </w:r>
            <w:r>
              <w:rPr>
                <w:rFonts w:hint="eastAsia" w:ascii="方正仿宋_GBK" w:hAnsi="方正仿宋_GBK" w:eastAsia="方正仿宋_GBK" w:cs="方正仿宋_GBK"/>
                <w:color w:val="auto"/>
                <w:szCs w:val="21"/>
                <w:lang w:val="en-US" w:eastAsia="zh-CN"/>
              </w:rPr>
              <w:t>4</w:t>
            </w:r>
            <w:r>
              <w:rPr>
                <w:rFonts w:hint="eastAsia" w:ascii="方正仿宋_GBK" w:hAnsi="方正仿宋_GBK" w:eastAsia="方正仿宋_GBK" w:cs="方正仿宋_GBK"/>
                <w:color w:val="auto"/>
                <w:szCs w:val="21"/>
              </w:rPr>
              <w:t>分；未提供措施和组织保障</w:t>
            </w:r>
            <w:r>
              <w:rPr>
                <w:rFonts w:hint="eastAsia" w:ascii="方正仿宋_GBK" w:hAnsi="方正仿宋_GBK" w:eastAsia="方正仿宋_GBK" w:cs="方正仿宋_GBK"/>
                <w:color w:val="auto"/>
                <w:szCs w:val="21"/>
                <w:lang w:eastAsia="zh-CN"/>
              </w:rPr>
              <w:t>，</w:t>
            </w:r>
            <w:r>
              <w:rPr>
                <w:rFonts w:hint="eastAsia" w:ascii="方正仿宋_GBK" w:hAnsi="方正仿宋_GBK" w:eastAsia="方正仿宋_GBK" w:cs="方正仿宋_GBK"/>
                <w:color w:val="auto"/>
                <w:szCs w:val="21"/>
                <w:lang w:val="en-US" w:eastAsia="zh-CN"/>
              </w:rPr>
              <w:t>或不能承诺48小时内响应恢复设备正常工作的</w:t>
            </w:r>
            <w:r>
              <w:rPr>
                <w:rFonts w:hint="eastAsia" w:ascii="方正仿宋_GBK" w:hAnsi="方正仿宋_GBK" w:eastAsia="方正仿宋_GBK" w:cs="方正仿宋_GBK"/>
                <w:color w:val="auto"/>
                <w:szCs w:val="21"/>
              </w:rPr>
              <w:t>，得0分。</w:t>
            </w:r>
          </w:p>
        </w:tc>
        <w:tc>
          <w:tcPr>
            <w:tcW w:w="1035" w:type="pct"/>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left"/>
              <w:rPr>
                <w:rFonts w:hint="eastAsia" w:ascii="方正仿宋_GBK" w:hAnsi="方正仿宋_GBK" w:eastAsia="方正仿宋_GBK" w:cs="方正仿宋_GBK"/>
                <w:b/>
                <w:kern w:val="0"/>
                <w:szCs w:val="21"/>
              </w:rPr>
            </w:pPr>
            <w:r>
              <w:rPr>
                <w:rFonts w:hint="eastAsia" w:ascii="方正仿宋_GBK" w:hAnsi="方正仿宋_GBK" w:eastAsia="方正仿宋_GBK" w:cs="方正仿宋_GBK"/>
                <w:bCs/>
                <w:szCs w:val="21"/>
              </w:rPr>
              <w:t>根据报价人提供的</w:t>
            </w:r>
            <w:r>
              <w:rPr>
                <w:rFonts w:hint="eastAsia" w:ascii="方正仿宋_GBK" w:hAnsi="方正仿宋_GBK" w:eastAsia="方正仿宋_GBK" w:cs="方正仿宋_GBK"/>
                <w:szCs w:val="21"/>
              </w:rPr>
              <w:t>设备质保措施方案横向比较，应同时提供设备质保期承诺书原件、设备维护人员驻守现场承诺书原件。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jc w:val="center"/>
        </w:trPr>
        <w:tc>
          <w:tcPr>
            <w:tcW w:w="279" w:type="pct"/>
            <w:vMerge w:val="restart"/>
            <w:tcBorders>
              <w:top w:val="single" w:color="auto" w:sz="4" w:space="0"/>
              <w:left w:val="single" w:color="auto" w:sz="4" w:space="0"/>
              <w:right w:val="single" w:color="auto" w:sz="4" w:space="0"/>
            </w:tcBorders>
            <w:vAlign w:val="center"/>
          </w:tcPr>
          <w:p>
            <w:pPr>
              <w:snapToGrid w:val="0"/>
              <w:spacing w:line="300" w:lineRule="exact"/>
              <w:rPr>
                <w:rFonts w:hint="eastAsia" w:ascii="方正仿宋_GBK" w:hAnsi="方正仿宋_GBK" w:eastAsia="方正仿宋_GBK" w:cs="方正仿宋_GBK"/>
                <w:szCs w:val="21"/>
              </w:rPr>
            </w:pPr>
          </w:p>
          <w:p>
            <w:pPr>
              <w:snapToGrid w:val="0"/>
              <w:spacing w:line="300" w:lineRule="exact"/>
              <w:rPr>
                <w:rFonts w:hint="eastAsia" w:ascii="方正仿宋_GBK" w:hAnsi="方正仿宋_GBK" w:eastAsia="方正仿宋_GBK" w:cs="方正仿宋_GBK"/>
                <w:szCs w:val="21"/>
              </w:rPr>
            </w:pPr>
          </w:p>
          <w:p>
            <w:pPr>
              <w:snapToGrid w:val="0"/>
              <w:spacing w:line="300" w:lineRule="exact"/>
              <w:rPr>
                <w:rFonts w:hint="eastAsia" w:ascii="方正仿宋_GBK" w:hAnsi="方正仿宋_GBK" w:eastAsia="方正仿宋_GBK" w:cs="方正仿宋_GBK"/>
                <w:szCs w:val="21"/>
              </w:rPr>
            </w:pPr>
          </w:p>
          <w:p>
            <w:pPr>
              <w:snapToGrid w:val="0"/>
              <w:spacing w:line="300" w:lineRule="exact"/>
              <w:rPr>
                <w:rFonts w:hint="eastAsia" w:ascii="方正仿宋_GBK" w:hAnsi="方正仿宋_GBK" w:eastAsia="方正仿宋_GBK" w:cs="方正仿宋_GBK"/>
                <w:szCs w:val="21"/>
              </w:rPr>
            </w:pPr>
          </w:p>
          <w:p>
            <w:pPr>
              <w:snapToGrid w:val="0"/>
              <w:spacing w:line="300" w:lineRule="exact"/>
              <w:rPr>
                <w:rFonts w:hint="eastAsia" w:ascii="方正仿宋_GBK" w:hAnsi="方正仿宋_GBK" w:eastAsia="方正仿宋_GBK" w:cs="方正仿宋_GBK"/>
                <w:szCs w:val="21"/>
              </w:rPr>
            </w:pPr>
          </w:p>
          <w:p>
            <w:pPr>
              <w:snapToGrid w:val="0"/>
              <w:spacing w:line="300" w:lineRule="exact"/>
              <w:rPr>
                <w:rFonts w:hint="eastAsia" w:ascii="方正仿宋_GBK" w:hAnsi="方正仿宋_GBK" w:eastAsia="方正仿宋_GBK" w:cs="方正仿宋_GBK"/>
                <w:szCs w:val="21"/>
              </w:rPr>
            </w:pPr>
          </w:p>
          <w:p>
            <w:pPr>
              <w:snapToGrid w:val="0"/>
              <w:spacing w:line="300" w:lineRule="exact"/>
              <w:rPr>
                <w:rFonts w:hint="eastAsia" w:ascii="方正仿宋_GBK" w:hAnsi="方正仿宋_GBK" w:eastAsia="方正仿宋_GBK" w:cs="方正仿宋_GBK"/>
                <w:szCs w:val="21"/>
              </w:rPr>
            </w:pPr>
          </w:p>
          <w:p>
            <w:pPr>
              <w:snapToGrid w:val="0"/>
              <w:spacing w:line="300" w:lineRule="exact"/>
              <w:rPr>
                <w:rFonts w:hint="eastAsia" w:ascii="方正仿宋_GBK" w:hAnsi="方正仿宋_GBK" w:eastAsia="方正仿宋_GBK" w:cs="方正仿宋_GBK"/>
                <w:szCs w:val="21"/>
              </w:rPr>
            </w:pPr>
          </w:p>
          <w:p>
            <w:pPr>
              <w:snapToGrid w:val="0"/>
              <w:spacing w:line="300" w:lineRule="exact"/>
              <w:jc w:val="center"/>
              <w:rPr>
                <w:rFonts w:hint="eastAsia" w:ascii="方正仿宋_GBK" w:hAnsi="方正仿宋_GBK" w:eastAsia="方正仿宋_GBK" w:cs="方正仿宋_GBK"/>
                <w:szCs w:val="21"/>
              </w:rPr>
            </w:pPr>
          </w:p>
          <w:p>
            <w:pPr>
              <w:snapToGrid w:val="0"/>
              <w:spacing w:line="300" w:lineRule="exact"/>
              <w:jc w:val="center"/>
              <w:rPr>
                <w:rFonts w:hint="eastAsia" w:ascii="方正仿宋_GBK" w:hAnsi="方正仿宋_GBK" w:eastAsia="方正仿宋_GBK" w:cs="方正仿宋_GBK"/>
                <w:szCs w:val="21"/>
              </w:rPr>
            </w:pPr>
          </w:p>
          <w:p>
            <w:pPr>
              <w:snapToGrid w:val="0"/>
              <w:spacing w:line="300" w:lineRule="exact"/>
              <w:jc w:val="center"/>
              <w:rPr>
                <w:rFonts w:hint="eastAsia" w:ascii="方正仿宋_GBK" w:hAnsi="方正仿宋_GBK" w:eastAsia="方正仿宋_GBK" w:cs="方正仿宋_GBK"/>
                <w:szCs w:val="21"/>
              </w:rPr>
            </w:pPr>
          </w:p>
          <w:p>
            <w:pPr>
              <w:snapToGrid w:val="0"/>
              <w:spacing w:line="300" w:lineRule="exact"/>
              <w:jc w:val="center"/>
              <w:rPr>
                <w:rFonts w:hint="eastAsia" w:ascii="方正仿宋_GBK" w:hAnsi="方正仿宋_GBK" w:eastAsia="方正仿宋_GBK" w:cs="方正仿宋_GBK"/>
                <w:szCs w:val="21"/>
              </w:rPr>
            </w:pPr>
          </w:p>
          <w:p>
            <w:pPr>
              <w:snapToGrid w:val="0"/>
              <w:spacing w:line="300" w:lineRule="exact"/>
              <w:jc w:val="center"/>
              <w:rPr>
                <w:rFonts w:hint="eastAsia" w:ascii="方正仿宋_GBK" w:hAnsi="方正仿宋_GBK" w:eastAsia="方正仿宋_GBK" w:cs="方正仿宋_GBK"/>
                <w:szCs w:val="21"/>
              </w:rPr>
            </w:pPr>
          </w:p>
          <w:p>
            <w:pPr>
              <w:snapToGrid w:val="0"/>
              <w:spacing w:line="300" w:lineRule="exact"/>
              <w:jc w:val="center"/>
              <w:rPr>
                <w:rFonts w:hint="eastAsia" w:ascii="方正仿宋_GBK" w:hAnsi="方正仿宋_GBK" w:eastAsia="方正仿宋_GBK" w:cs="方正仿宋_GBK"/>
                <w:szCs w:val="21"/>
              </w:rPr>
            </w:pPr>
          </w:p>
          <w:p>
            <w:pPr>
              <w:snapToGrid w:val="0"/>
              <w:spacing w:line="300" w:lineRule="exact"/>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3</w:t>
            </w:r>
          </w:p>
        </w:tc>
        <w:tc>
          <w:tcPr>
            <w:tcW w:w="666" w:type="pct"/>
            <w:vMerge w:val="restart"/>
            <w:tcBorders>
              <w:top w:val="single" w:color="auto" w:sz="4" w:space="0"/>
              <w:left w:val="single" w:color="auto" w:sz="4" w:space="0"/>
              <w:right w:val="single" w:color="auto" w:sz="4" w:space="0"/>
            </w:tcBorders>
            <w:vAlign w:val="center"/>
          </w:tcPr>
          <w:p>
            <w:pPr>
              <w:snapToGrid w:val="0"/>
              <w:spacing w:line="300" w:lineRule="exact"/>
              <w:rPr>
                <w:rFonts w:hint="eastAsia" w:ascii="方正仿宋_GBK" w:hAnsi="方正仿宋_GBK" w:eastAsia="方正仿宋_GBK" w:cs="方正仿宋_GBK"/>
                <w:szCs w:val="21"/>
              </w:rPr>
            </w:pPr>
          </w:p>
          <w:p>
            <w:pPr>
              <w:snapToGrid w:val="0"/>
              <w:spacing w:line="300" w:lineRule="exact"/>
              <w:rPr>
                <w:rFonts w:hint="eastAsia" w:ascii="方正仿宋_GBK" w:hAnsi="方正仿宋_GBK" w:eastAsia="方正仿宋_GBK" w:cs="方正仿宋_GBK"/>
                <w:szCs w:val="21"/>
              </w:rPr>
            </w:pPr>
          </w:p>
          <w:p>
            <w:pPr>
              <w:snapToGrid w:val="0"/>
              <w:spacing w:line="300" w:lineRule="exact"/>
              <w:rPr>
                <w:rFonts w:hint="eastAsia" w:ascii="方正仿宋_GBK" w:hAnsi="方正仿宋_GBK" w:eastAsia="方正仿宋_GBK" w:cs="方正仿宋_GBK"/>
                <w:szCs w:val="21"/>
              </w:rPr>
            </w:pPr>
          </w:p>
          <w:p>
            <w:pPr>
              <w:snapToGrid w:val="0"/>
              <w:spacing w:line="300" w:lineRule="exact"/>
              <w:rPr>
                <w:rFonts w:hint="eastAsia" w:ascii="方正仿宋_GBK" w:hAnsi="方正仿宋_GBK" w:eastAsia="方正仿宋_GBK" w:cs="方正仿宋_GBK"/>
                <w:szCs w:val="21"/>
              </w:rPr>
            </w:pPr>
          </w:p>
          <w:p>
            <w:pPr>
              <w:snapToGrid w:val="0"/>
              <w:spacing w:line="300" w:lineRule="exact"/>
              <w:rPr>
                <w:rFonts w:hint="eastAsia" w:ascii="方正仿宋_GBK" w:hAnsi="方正仿宋_GBK" w:eastAsia="方正仿宋_GBK" w:cs="方正仿宋_GBK"/>
                <w:szCs w:val="21"/>
              </w:rPr>
            </w:pPr>
          </w:p>
          <w:p>
            <w:pPr>
              <w:snapToGrid w:val="0"/>
              <w:spacing w:line="300" w:lineRule="exact"/>
              <w:rPr>
                <w:rFonts w:hint="eastAsia" w:ascii="方正仿宋_GBK" w:hAnsi="方正仿宋_GBK" w:eastAsia="方正仿宋_GBK" w:cs="方正仿宋_GBK"/>
                <w:szCs w:val="21"/>
              </w:rPr>
            </w:pPr>
          </w:p>
          <w:p>
            <w:pPr>
              <w:snapToGrid w:val="0"/>
              <w:spacing w:line="300" w:lineRule="exact"/>
              <w:rPr>
                <w:rFonts w:hint="eastAsia" w:ascii="方正仿宋_GBK" w:hAnsi="方正仿宋_GBK" w:eastAsia="方正仿宋_GBK" w:cs="方正仿宋_GBK"/>
                <w:szCs w:val="21"/>
              </w:rPr>
            </w:pPr>
          </w:p>
          <w:p>
            <w:pPr>
              <w:snapToGrid w:val="0"/>
              <w:spacing w:line="300" w:lineRule="exact"/>
              <w:jc w:val="center"/>
              <w:rPr>
                <w:rFonts w:hint="eastAsia" w:ascii="方正仿宋_GBK" w:hAnsi="方正仿宋_GBK" w:eastAsia="方正仿宋_GBK" w:cs="方正仿宋_GBK"/>
                <w:szCs w:val="21"/>
              </w:rPr>
            </w:pPr>
          </w:p>
          <w:p>
            <w:pPr>
              <w:snapToGrid w:val="0"/>
              <w:spacing w:line="300" w:lineRule="exact"/>
              <w:jc w:val="center"/>
              <w:rPr>
                <w:rFonts w:hint="eastAsia" w:ascii="方正仿宋_GBK" w:hAnsi="方正仿宋_GBK" w:eastAsia="方正仿宋_GBK" w:cs="方正仿宋_GBK"/>
                <w:szCs w:val="21"/>
              </w:rPr>
            </w:pPr>
          </w:p>
          <w:p>
            <w:pPr>
              <w:snapToGrid w:val="0"/>
              <w:spacing w:line="300" w:lineRule="exact"/>
              <w:jc w:val="center"/>
              <w:rPr>
                <w:rFonts w:hint="eastAsia" w:ascii="方正仿宋_GBK" w:hAnsi="方正仿宋_GBK" w:eastAsia="方正仿宋_GBK" w:cs="方正仿宋_GBK"/>
                <w:szCs w:val="21"/>
              </w:rPr>
            </w:pPr>
          </w:p>
          <w:p>
            <w:pPr>
              <w:snapToGrid w:val="0"/>
              <w:spacing w:line="300" w:lineRule="exact"/>
              <w:jc w:val="center"/>
              <w:rPr>
                <w:rFonts w:hint="eastAsia" w:ascii="方正仿宋_GBK" w:hAnsi="方正仿宋_GBK" w:eastAsia="方正仿宋_GBK" w:cs="方正仿宋_GBK"/>
                <w:szCs w:val="21"/>
              </w:rPr>
            </w:pPr>
          </w:p>
          <w:p>
            <w:pPr>
              <w:snapToGrid w:val="0"/>
              <w:spacing w:line="300" w:lineRule="exact"/>
              <w:jc w:val="center"/>
              <w:rPr>
                <w:rFonts w:hint="eastAsia" w:ascii="方正仿宋_GBK" w:hAnsi="方正仿宋_GBK" w:eastAsia="方正仿宋_GBK" w:cs="方正仿宋_GBK"/>
                <w:szCs w:val="21"/>
              </w:rPr>
            </w:pPr>
          </w:p>
          <w:p>
            <w:pPr>
              <w:snapToGrid w:val="0"/>
              <w:spacing w:line="300" w:lineRule="exact"/>
              <w:jc w:val="center"/>
              <w:rPr>
                <w:rFonts w:hint="eastAsia" w:ascii="方正仿宋_GBK" w:hAnsi="方正仿宋_GBK" w:eastAsia="方正仿宋_GBK" w:cs="方正仿宋_GBK"/>
                <w:szCs w:val="21"/>
              </w:rPr>
            </w:pPr>
          </w:p>
          <w:p>
            <w:pPr>
              <w:snapToGrid w:val="0"/>
              <w:spacing w:line="300" w:lineRule="exact"/>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商务部分（</w:t>
            </w:r>
            <w:r>
              <w:rPr>
                <w:rFonts w:hint="eastAsia" w:ascii="方正仿宋_GBK" w:hAnsi="方正仿宋_GBK" w:eastAsia="方正仿宋_GBK" w:cs="方正仿宋_GBK"/>
                <w:szCs w:val="21"/>
                <w:lang w:val="en-US" w:eastAsia="zh-CN"/>
              </w:rPr>
              <w:t>18</w:t>
            </w:r>
            <w:r>
              <w:rPr>
                <w:rFonts w:hint="eastAsia" w:ascii="方正仿宋_GBK" w:hAnsi="方正仿宋_GBK" w:eastAsia="方正仿宋_GBK" w:cs="方正仿宋_GBK"/>
                <w:szCs w:val="21"/>
              </w:rPr>
              <w:t>%）</w:t>
            </w:r>
          </w:p>
        </w:tc>
        <w:tc>
          <w:tcPr>
            <w:tcW w:w="739" w:type="pct"/>
            <w:tcBorders>
              <w:top w:val="single" w:color="auto" w:sz="4" w:space="0"/>
              <w:left w:val="single" w:color="auto" w:sz="4" w:space="0"/>
              <w:right w:val="single" w:color="auto" w:sz="4" w:space="0"/>
            </w:tcBorders>
            <w:vAlign w:val="center"/>
          </w:tcPr>
          <w:p>
            <w:pPr>
              <w:snapToGrid w:val="0"/>
              <w:spacing w:line="300" w:lineRule="exact"/>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设备供应商业绩</w:t>
            </w:r>
          </w:p>
          <w:p>
            <w:pPr>
              <w:snapToGrid w:val="0"/>
              <w:spacing w:line="300" w:lineRule="exact"/>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w:t>
            </w:r>
            <w:r>
              <w:rPr>
                <w:rFonts w:hint="eastAsia" w:ascii="方正仿宋_GBK" w:hAnsi="方正仿宋_GBK" w:eastAsia="方正仿宋_GBK" w:cs="方正仿宋_GBK"/>
                <w:szCs w:val="21"/>
                <w:lang w:val="en-US" w:eastAsia="zh-CN"/>
              </w:rPr>
              <w:t>4</w:t>
            </w:r>
            <w:r>
              <w:rPr>
                <w:rFonts w:hint="eastAsia" w:ascii="方正仿宋_GBK" w:hAnsi="方正仿宋_GBK" w:eastAsia="方正仿宋_GBK" w:cs="方正仿宋_GBK"/>
                <w:szCs w:val="21"/>
              </w:rPr>
              <w:t>分）</w:t>
            </w:r>
          </w:p>
        </w:tc>
        <w:tc>
          <w:tcPr>
            <w:tcW w:w="2277" w:type="pct"/>
            <w:tcBorders>
              <w:top w:val="single" w:color="auto" w:sz="4" w:space="0"/>
              <w:left w:val="single" w:color="auto" w:sz="4" w:space="0"/>
              <w:right w:val="single" w:color="auto" w:sz="4" w:space="0"/>
            </w:tcBorders>
            <w:vAlign w:val="center"/>
          </w:tcPr>
          <w:p>
            <w:pPr>
              <w:snapToGrid w:val="0"/>
              <w:spacing w:line="300" w:lineRule="exact"/>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2022年1月1日至今，设备供应商已经实施过地质灾害专业监测预警类项目设备供货或技术服务合同金额达到</w:t>
            </w:r>
            <w:r>
              <w:rPr>
                <w:rFonts w:hint="eastAsia" w:ascii="方正仿宋_GBK" w:hAnsi="方正仿宋_GBK" w:eastAsia="方正仿宋_GBK" w:cs="方正仿宋_GBK"/>
                <w:color w:val="auto"/>
                <w:szCs w:val="21"/>
                <w:lang w:val="en-US" w:eastAsia="zh-CN"/>
              </w:rPr>
              <w:t>1</w:t>
            </w:r>
            <w:r>
              <w:rPr>
                <w:rFonts w:hint="eastAsia" w:ascii="方正仿宋_GBK" w:hAnsi="方正仿宋_GBK" w:eastAsia="方正仿宋_GBK" w:cs="方正仿宋_GBK"/>
                <w:color w:val="auto"/>
                <w:szCs w:val="21"/>
              </w:rPr>
              <w:t>00万元的业绩，每有一项业绩得</w:t>
            </w:r>
            <w:r>
              <w:rPr>
                <w:rFonts w:hint="eastAsia" w:ascii="方正仿宋_GBK" w:hAnsi="方正仿宋_GBK" w:eastAsia="方正仿宋_GBK" w:cs="方正仿宋_GBK"/>
                <w:color w:val="auto"/>
                <w:szCs w:val="21"/>
                <w:lang w:val="en-US" w:eastAsia="zh-CN"/>
              </w:rPr>
              <w:t>2</w:t>
            </w:r>
            <w:r>
              <w:rPr>
                <w:rFonts w:hint="eastAsia" w:ascii="方正仿宋_GBK" w:hAnsi="方正仿宋_GBK" w:eastAsia="方正仿宋_GBK" w:cs="方正仿宋_GBK"/>
                <w:color w:val="auto"/>
                <w:szCs w:val="21"/>
              </w:rPr>
              <w:t>分，最高</w:t>
            </w:r>
            <w:r>
              <w:rPr>
                <w:rFonts w:hint="eastAsia" w:ascii="方正仿宋_GBK" w:hAnsi="方正仿宋_GBK" w:eastAsia="方正仿宋_GBK" w:cs="方正仿宋_GBK"/>
                <w:color w:val="auto"/>
                <w:szCs w:val="21"/>
                <w:lang w:val="en-US" w:eastAsia="zh-CN"/>
              </w:rPr>
              <w:t>4</w:t>
            </w:r>
            <w:r>
              <w:rPr>
                <w:rFonts w:hint="eastAsia" w:ascii="方正仿宋_GBK" w:hAnsi="方正仿宋_GBK" w:eastAsia="方正仿宋_GBK" w:cs="方正仿宋_GBK"/>
                <w:color w:val="auto"/>
                <w:szCs w:val="21"/>
              </w:rPr>
              <w:t>分。</w:t>
            </w:r>
          </w:p>
        </w:tc>
        <w:tc>
          <w:tcPr>
            <w:tcW w:w="1035" w:type="pct"/>
            <w:tcBorders>
              <w:top w:val="single" w:color="auto" w:sz="4" w:space="0"/>
              <w:left w:val="single" w:color="auto" w:sz="4" w:space="0"/>
              <w:right w:val="single" w:color="auto" w:sz="4" w:space="0"/>
            </w:tcBorders>
            <w:vAlign w:val="center"/>
          </w:tcPr>
          <w:p>
            <w:pPr>
              <w:snapToGrid w:val="0"/>
              <w:spacing w:line="300" w:lineRule="exact"/>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提供设备供应商业绩合同和合同对应任一发票复印件，原件备查。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 w:type="pct"/>
            <w:vMerge w:val="continue"/>
            <w:tcBorders>
              <w:left w:val="single" w:color="auto" w:sz="4" w:space="0"/>
              <w:right w:val="single" w:color="auto" w:sz="4" w:space="0"/>
            </w:tcBorders>
            <w:vAlign w:val="center"/>
          </w:tcPr>
          <w:p>
            <w:pPr>
              <w:snapToGrid w:val="0"/>
              <w:spacing w:line="300" w:lineRule="exact"/>
              <w:rPr>
                <w:rFonts w:hint="eastAsia" w:ascii="方正仿宋_GBK" w:hAnsi="方正仿宋_GBK" w:eastAsia="方正仿宋_GBK" w:cs="方正仿宋_GBK"/>
                <w:szCs w:val="21"/>
              </w:rPr>
            </w:pPr>
          </w:p>
        </w:tc>
        <w:tc>
          <w:tcPr>
            <w:tcW w:w="666" w:type="pct"/>
            <w:vMerge w:val="continue"/>
            <w:tcBorders>
              <w:left w:val="single" w:color="auto" w:sz="4" w:space="0"/>
              <w:right w:val="single" w:color="auto" w:sz="4" w:space="0"/>
            </w:tcBorders>
            <w:vAlign w:val="center"/>
          </w:tcPr>
          <w:p>
            <w:pPr>
              <w:snapToGrid w:val="0"/>
              <w:spacing w:line="300" w:lineRule="exact"/>
              <w:rPr>
                <w:rFonts w:hint="eastAsia" w:ascii="方正仿宋_GBK" w:hAnsi="方正仿宋_GBK" w:eastAsia="方正仿宋_GBK" w:cs="方正仿宋_GBK"/>
                <w:szCs w:val="21"/>
              </w:rPr>
            </w:pPr>
          </w:p>
        </w:tc>
        <w:tc>
          <w:tcPr>
            <w:tcW w:w="739" w:type="pct"/>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lang w:val="en-US" w:eastAsia="zh-CN"/>
              </w:rPr>
              <w:t>土建安装</w:t>
            </w:r>
            <w:r>
              <w:rPr>
                <w:rFonts w:hint="eastAsia" w:ascii="方正仿宋_GBK" w:hAnsi="方正仿宋_GBK" w:eastAsia="方正仿宋_GBK" w:cs="方正仿宋_GBK"/>
                <w:szCs w:val="21"/>
              </w:rPr>
              <w:t>业绩</w:t>
            </w:r>
          </w:p>
          <w:p>
            <w:pPr>
              <w:snapToGrid w:val="0"/>
              <w:spacing w:line="300" w:lineRule="exact"/>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（4分）</w:t>
            </w:r>
          </w:p>
        </w:tc>
        <w:tc>
          <w:tcPr>
            <w:tcW w:w="2277" w:type="pct"/>
            <w:tcBorders>
              <w:top w:val="single" w:color="auto" w:sz="4" w:space="0"/>
              <w:left w:val="single" w:color="auto" w:sz="4" w:space="0"/>
              <w:bottom w:val="single" w:color="auto" w:sz="4" w:space="0"/>
              <w:right w:val="single" w:color="auto" w:sz="4" w:space="0"/>
            </w:tcBorders>
            <w:vAlign w:val="center"/>
          </w:tcPr>
          <w:p>
            <w:pPr>
              <w:snapToGrid w:val="0"/>
              <w:spacing w:line="300" w:lineRule="exact"/>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设备供应商</w:t>
            </w:r>
            <w:r>
              <w:rPr>
                <w:rFonts w:hint="eastAsia" w:ascii="方正仿宋_GBK" w:hAnsi="方正仿宋_GBK" w:eastAsia="方正仿宋_GBK" w:cs="方正仿宋_GBK"/>
                <w:szCs w:val="21"/>
                <w:lang w:val="en-US" w:eastAsia="zh-CN"/>
              </w:rPr>
              <w:t>提供</w:t>
            </w:r>
            <w:r>
              <w:rPr>
                <w:rFonts w:hint="eastAsia" w:ascii="方正仿宋_GBK" w:hAnsi="方正仿宋_GBK" w:eastAsia="方正仿宋_GBK" w:cs="方正仿宋_GBK"/>
                <w:szCs w:val="21"/>
              </w:rPr>
              <w:t>2022年1月1日至今具有地质灾害监测类项目土建安装一般劳务作业的业绩，提供1个业绩得1分,最高2分。</w:t>
            </w:r>
          </w:p>
          <w:p>
            <w:pPr>
              <w:snapToGrid w:val="0"/>
              <w:spacing w:line="300" w:lineRule="exact"/>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设备供应商</w:t>
            </w:r>
            <w:r>
              <w:rPr>
                <w:rFonts w:hint="eastAsia" w:ascii="方正仿宋_GBK" w:hAnsi="方正仿宋_GBK" w:eastAsia="方正仿宋_GBK" w:cs="方正仿宋_GBK"/>
                <w:szCs w:val="21"/>
                <w:lang w:val="en-US" w:eastAsia="zh-CN"/>
              </w:rPr>
              <w:t>提供</w:t>
            </w:r>
            <w:r>
              <w:rPr>
                <w:rFonts w:hint="eastAsia" w:ascii="方正仿宋_GBK" w:hAnsi="方正仿宋_GBK" w:eastAsia="方正仿宋_GBK" w:cs="方正仿宋_GBK"/>
                <w:szCs w:val="21"/>
              </w:rPr>
              <w:t>2022年1月1日至今具有攀岩调查或者高空安装作业项目业绩，且合同金额在</w:t>
            </w:r>
            <w:r>
              <w:rPr>
                <w:rFonts w:hint="eastAsia" w:ascii="方正仿宋_GBK" w:hAnsi="方正仿宋_GBK" w:eastAsia="方正仿宋_GBK" w:cs="方正仿宋_GBK"/>
                <w:szCs w:val="21"/>
                <w:lang w:val="en-US" w:eastAsia="zh-CN"/>
              </w:rPr>
              <w:t>5</w:t>
            </w:r>
            <w:r>
              <w:rPr>
                <w:rFonts w:hint="eastAsia" w:ascii="方正仿宋_GBK" w:hAnsi="方正仿宋_GBK" w:eastAsia="方正仿宋_GBK" w:cs="方正仿宋_GBK"/>
                <w:szCs w:val="21"/>
              </w:rPr>
              <w:t>万元以上，提供1个业绩得1分,最高2分。</w:t>
            </w:r>
          </w:p>
        </w:tc>
        <w:tc>
          <w:tcPr>
            <w:tcW w:w="1035"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hint="eastAsia" w:ascii="方正仿宋_GBK" w:hAnsi="方正仿宋_GBK" w:eastAsia="方正仿宋_GBK" w:cs="方正仿宋_GBK"/>
                <w:szCs w:val="21"/>
              </w:rPr>
            </w:pPr>
            <w:r>
              <w:rPr>
                <w:rFonts w:hint="eastAsia" w:ascii="方正仿宋_GBK" w:hAnsi="方正仿宋_GBK" w:eastAsia="方正仿宋_GBK" w:cs="方正仿宋_GBK"/>
                <w:color w:val="000000"/>
                <w:szCs w:val="21"/>
              </w:rPr>
              <w:t>提供业绩合同关键内容页扫描件。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 w:type="pct"/>
            <w:vMerge w:val="continue"/>
            <w:tcBorders>
              <w:left w:val="single" w:color="auto" w:sz="4" w:space="0"/>
              <w:right w:val="single" w:color="auto" w:sz="4" w:space="0"/>
            </w:tcBorders>
            <w:vAlign w:val="center"/>
          </w:tcPr>
          <w:p>
            <w:pPr>
              <w:snapToGrid w:val="0"/>
              <w:spacing w:line="300" w:lineRule="exact"/>
              <w:rPr>
                <w:rFonts w:hint="eastAsia" w:ascii="方正仿宋_GBK" w:hAnsi="方正仿宋_GBK" w:eastAsia="方正仿宋_GBK" w:cs="方正仿宋_GBK"/>
                <w:szCs w:val="21"/>
              </w:rPr>
            </w:pPr>
          </w:p>
        </w:tc>
        <w:tc>
          <w:tcPr>
            <w:tcW w:w="666" w:type="pct"/>
            <w:vMerge w:val="continue"/>
            <w:tcBorders>
              <w:left w:val="single" w:color="auto" w:sz="4" w:space="0"/>
              <w:right w:val="single" w:color="auto" w:sz="4" w:space="0"/>
            </w:tcBorders>
            <w:vAlign w:val="center"/>
          </w:tcPr>
          <w:p>
            <w:pPr>
              <w:snapToGrid w:val="0"/>
              <w:spacing w:line="300" w:lineRule="exact"/>
              <w:rPr>
                <w:rFonts w:hint="eastAsia" w:ascii="方正仿宋_GBK" w:hAnsi="方正仿宋_GBK" w:eastAsia="方正仿宋_GBK" w:cs="方正仿宋_GBK"/>
                <w:szCs w:val="21"/>
              </w:rPr>
            </w:pPr>
          </w:p>
        </w:tc>
        <w:tc>
          <w:tcPr>
            <w:tcW w:w="739" w:type="pct"/>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项目保障</w:t>
            </w:r>
          </w:p>
          <w:p>
            <w:pPr>
              <w:snapToGrid w:val="0"/>
              <w:spacing w:line="300" w:lineRule="exact"/>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w:t>
            </w:r>
            <w:r>
              <w:rPr>
                <w:rFonts w:hint="eastAsia" w:ascii="方正仿宋_GBK" w:hAnsi="方正仿宋_GBK" w:eastAsia="方正仿宋_GBK" w:cs="方正仿宋_GBK"/>
                <w:szCs w:val="21"/>
                <w:lang w:val="en-US" w:eastAsia="zh-CN"/>
              </w:rPr>
              <w:t>4</w:t>
            </w:r>
            <w:r>
              <w:rPr>
                <w:rFonts w:hint="eastAsia" w:ascii="方正仿宋_GBK" w:hAnsi="方正仿宋_GBK" w:eastAsia="方正仿宋_GBK" w:cs="方正仿宋_GBK"/>
                <w:szCs w:val="21"/>
              </w:rPr>
              <w:t>分）</w:t>
            </w:r>
          </w:p>
        </w:tc>
        <w:tc>
          <w:tcPr>
            <w:tcW w:w="2277" w:type="pct"/>
            <w:tcBorders>
              <w:top w:val="single" w:color="auto" w:sz="4" w:space="0"/>
              <w:left w:val="single" w:color="auto" w:sz="4" w:space="0"/>
              <w:bottom w:val="single" w:color="auto" w:sz="4" w:space="0"/>
              <w:right w:val="single" w:color="auto" w:sz="4" w:space="0"/>
            </w:tcBorders>
            <w:vAlign w:val="center"/>
          </w:tcPr>
          <w:p>
            <w:pPr>
              <w:snapToGrid w:val="0"/>
              <w:spacing w:line="300" w:lineRule="exact"/>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设备供应商承诺在签订设备和土建安装（若有）合同后7天内完成所有设备和辅材配件（若有）、备品备件的供货；且保障在设备安装完成后7天内完成所有设备系统接入工作，并正常运行，得</w:t>
            </w:r>
            <w:r>
              <w:rPr>
                <w:rFonts w:hint="eastAsia" w:ascii="方正仿宋_GBK" w:hAnsi="方正仿宋_GBK" w:eastAsia="方正仿宋_GBK" w:cs="方正仿宋_GBK"/>
                <w:szCs w:val="21"/>
                <w:lang w:val="en-US" w:eastAsia="zh-CN"/>
              </w:rPr>
              <w:t>4</w:t>
            </w:r>
            <w:r>
              <w:rPr>
                <w:rFonts w:hint="eastAsia" w:ascii="方正仿宋_GBK" w:hAnsi="方正仿宋_GBK" w:eastAsia="方正仿宋_GBK" w:cs="方正仿宋_GBK"/>
                <w:szCs w:val="21"/>
              </w:rPr>
              <w:t>分，否则得0分。</w:t>
            </w:r>
          </w:p>
        </w:tc>
        <w:tc>
          <w:tcPr>
            <w:tcW w:w="1035" w:type="pct"/>
            <w:tcBorders>
              <w:top w:val="single" w:color="auto" w:sz="4" w:space="0"/>
              <w:left w:val="single" w:color="auto" w:sz="4" w:space="0"/>
              <w:bottom w:val="single" w:color="auto" w:sz="4" w:space="0"/>
              <w:right w:val="single" w:color="auto" w:sz="4" w:space="0"/>
            </w:tcBorders>
            <w:vAlign w:val="center"/>
          </w:tcPr>
          <w:p>
            <w:pPr>
              <w:spacing w:line="260" w:lineRule="exact"/>
              <w:jc w:val="left"/>
              <w:rPr>
                <w:rFonts w:hint="eastAsia" w:ascii="方正仿宋_GBK" w:hAnsi="方正仿宋_GBK" w:eastAsia="方正仿宋_GBK" w:cs="方正仿宋_GBK"/>
                <w:color w:val="000000"/>
                <w:szCs w:val="21"/>
              </w:rPr>
            </w:pPr>
            <w:r>
              <w:rPr>
                <w:rFonts w:hint="eastAsia" w:ascii="方正仿宋_GBK" w:hAnsi="方正仿宋_GBK" w:eastAsia="方正仿宋_GBK" w:cs="方正仿宋_GBK"/>
                <w:szCs w:val="21"/>
              </w:rPr>
              <w:t>提供承诺书原件。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 w:type="pct"/>
            <w:vMerge w:val="continue"/>
            <w:tcBorders>
              <w:left w:val="single" w:color="auto" w:sz="4" w:space="0"/>
              <w:right w:val="single" w:color="auto" w:sz="4" w:space="0"/>
            </w:tcBorders>
            <w:vAlign w:val="center"/>
          </w:tcPr>
          <w:p>
            <w:pPr>
              <w:snapToGrid w:val="0"/>
              <w:spacing w:line="300" w:lineRule="exact"/>
              <w:rPr>
                <w:rFonts w:hint="eastAsia" w:ascii="方正仿宋_GBK" w:hAnsi="方正仿宋_GBK" w:eastAsia="方正仿宋_GBK" w:cs="方正仿宋_GBK"/>
                <w:szCs w:val="21"/>
              </w:rPr>
            </w:pPr>
          </w:p>
        </w:tc>
        <w:tc>
          <w:tcPr>
            <w:tcW w:w="666" w:type="pct"/>
            <w:vMerge w:val="continue"/>
            <w:tcBorders>
              <w:left w:val="single" w:color="auto" w:sz="4" w:space="0"/>
              <w:right w:val="single" w:color="auto" w:sz="4" w:space="0"/>
            </w:tcBorders>
            <w:vAlign w:val="center"/>
          </w:tcPr>
          <w:p>
            <w:pPr>
              <w:snapToGrid w:val="0"/>
              <w:spacing w:line="300" w:lineRule="exact"/>
              <w:rPr>
                <w:rFonts w:hint="eastAsia" w:ascii="方正仿宋_GBK" w:hAnsi="方正仿宋_GBK" w:eastAsia="方正仿宋_GBK" w:cs="方正仿宋_GBK"/>
                <w:szCs w:val="21"/>
              </w:rPr>
            </w:pPr>
          </w:p>
        </w:tc>
        <w:tc>
          <w:tcPr>
            <w:tcW w:w="739" w:type="pct"/>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监测点建设期人员组织</w:t>
            </w:r>
          </w:p>
          <w:p>
            <w:pPr>
              <w:snapToGrid w:val="0"/>
              <w:spacing w:line="300" w:lineRule="exact"/>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w:t>
            </w:r>
            <w:r>
              <w:rPr>
                <w:rFonts w:hint="eastAsia" w:ascii="方正仿宋_GBK" w:hAnsi="方正仿宋_GBK" w:eastAsia="方正仿宋_GBK" w:cs="方正仿宋_GBK"/>
                <w:szCs w:val="21"/>
                <w:lang w:val="en-US" w:eastAsia="zh-CN"/>
              </w:rPr>
              <w:t>6</w:t>
            </w:r>
            <w:r>
              <w:rPr>
                <w:rFonts w:hint="eastAsia" w:ascii="方正仿宋_GBK" w:hAnsi="方正仿宋_GBK" w:eastAsia="方正仿宋_GBK" w:cs="方正仿宋_GBK"/>
                <w:szCs w:val="21"/>
              </w:rPr>
              <w:t>分）</w:t>
            </w:r>
          </w:p>
        </w:tc>
        <w:tc>
          <w:tcPr>
            <w:tcW w:w="2277" w:type="pct"/>
            <w:tcBorders>
              <w:top w:val="single" w:color="auto" w:sz="4" w:space="0"/>
              <w:left w:val="single" w:color="auto" w:sz="4" w:space="0"/>
              <w:bottom w:val="single" w:color="auto" w:sz="4" w:space="0"/>
              <w:right w:val="single" w:color="auto" w:sz="4" w:space="0"/>
            </w:tcBorders>
            <w:vAlign w:val="center"/>
          </w:tcPr>
          <w:p>
            <w:pPr>
              <w:numPr>
                <w:ilvl w:val="0"/>
                <w:numId w:val="6"/>
              </w:numPr>
              <w:snapToGrid w:val="0"/>
              <w:spacing w:line="300" w:lineRule="exact"/>
              <w:jc w:val="left"/>
              <w:rPr>
                <w:rFonts w:hint="eastAsia"/>
              </w:rPr>
            </w:pPr>
            <w:r>
              <w:rPr>
                <w:rFonts w:hint="eastAsia" w:ascii="方正仿宋_GBK" w:hAnsi="方正仿宋_GBK" w:eastAsia="方正仿宋_GBK" w:cs="方正仿宋_GBK"/>
                <w:color w:val="000000"/>
                <w:szCs w:val="21"/>
              </w:rPr>
              <w:t>设备供应商承诺除项目负责人以外，另外安排至少2名技术人员驻守现场，并随时接受检查，须提供相关人员</w:t>
            </w:r>
            <w:r>
              <w:rPr>
                <w:rFonts w:hint="eastAsia" w:ascii="方正仿宋_GBK" w:hAnsi="方正仿宋_GBK" w:eastAsia="方正仿宋_GBK" w:cs="方正仿宋_GBK"/>
                <w:color w:val="000000"/>
                <w:szCs w:val="21"/>
                <w:lang w:val="en-US" w:eastAsia="zh-CN"/>
              </w:rPr>
              <w:t>近两个</w:t>
            </w:r>
            <w:r>
              <w:rPr>
                <w:rFonts w:hint="eastAsia" w:ascii="方正仿宋_GBK" w:hAnsi="方正仿宋_GBK" w:eastAsia="方正仿宋_GBK" w:cs="方正仿宋_GBK"/>
                <w:color w:val="000000"/>
                <w:szCs w:val="21"/>
              </w:rPr>
              <w:t>月在设备供应商公司缴纳社保的证明复印件。承诺得</w:t>
            </w:r>
            <w:r>
              <w:rPr>
                <w:rFonts w:hint="eastAsia" w:ascii="方正仿宋_GBK" w:hAnsi="方正仿宋_GBK" w:eastAsia="方正仿宋_GBK" w:cs="方正仿宋_GBK"/>
                <w:color w:val="000000"/>
                <w:szCs w:val="21"/>
                <w:lang w:val="en-US" w:eastAsia="zh-CN"/>
              </w:rPr>
              <w:t>2</w:t>
            </w:r>
            <w:r>
              <w:rPr>
                <w:rFonts w:hint="eastAsia" w:ascii="方正仿宋_GBK" w:hAnsi="方正仿宋_GBK" w:eastAsia="方正仿宋_GBK" w:cs="方正仿宋_GBK"/>
                <w:color w:val="000000"/>
                <w:szCs w:val="21"/>
              </w:rPr>
              <w:t>分，否则得0分；</w:t>
            </w:r>
          </w:p>
          <w:p>
            <w:pPr>
              <w:numPr>
                <w:ilvl w:val="0"/>
                <w:numId w:val="6"/>
              </w:numPr>
              <w:snapToGrid w:val="0"/>
              <w:spacing w:line="300" w:lineRule="exact"/>
              <w:jc w:val="left"/>
              <w:rPr>
                <w:rFonts w:hint="eastAsia" w:ascii="方正仿宋_GBK" w:hAnsi="方正仿宋_GBK" w:eastAsia="方正仿宋_GBK" w:cs="方正仿宋_GBK"/>
                <w:szCs w:val="21"/>
              </w:rPr>
            </w:pPr>
            <w:r>
              <w:rPr>
                <w:rFonts w:hint="eastAsia" w:ascii="方正仿宋_GBK" w:hAnsi="方正仿宋_GBK" w:eastAsia="方正仿宋_GBK" w:cs="方正仿宋_GBK"/>
                <w:color w:val="000000"/>
                <w:szCs w:val="21"/>
                <w:lang w:val="en-US" w:eastAsia="zh-CN"/>
              </w:rPr>
              <w:t>设备供应商承诺</w:t>
            </w:r>
            <w:r>
              <w:rPr>
                <w:rFonts w:hint="eastAsia" w:ascii="方正仿宋_GBK" w:hAnsi="方正仿宋_GBK" w:eastAsia="方正仿宋_GBK" w:cs="方正仿宋_GBK"/>
                <w:color w:val="000000"/>
                <w:szCs w:val="21"/>
              </w:rPr>
              <w:t>拟合作劳务公司除项目负责人和安全员外，另外至少安排5名身体健康状况良好的劳务人员驻守现场，并随时接受检查，须提供项目负责</w:t>
            </w:r>
            <w:r>
              <w:rPr>
                <w:rFonts w:hint="eastAsia" w:ascii="方正仿宋_GBK" w:hAnsi="方正仿宋_GBK" w:eastAsia="方正仿宋_GBK" w:cs="方正仿宋_GBK"/>
                <w:color w:val="000000"/>
                <w:szCs w:val="21"/>
                <w:lang w:val="en-US" w:eastAsia="zh-CN"/>
              </w:rPr>
              <w:t>人</w:t>
            </w:r>
            <w:r>
              <w:rPr>
                <w:rFonts w:hint="eastAsia" w:ascii="方正仿宋_GBK" w:hAnsi="方正仿宋_GBK" w:eastAsia="方正仿宋_GBK" w:cs="方正仿宋_GBK"/>
                <w:color w:val="000000"/>
                <w:szCs w:val="21"/>
              </w:rPr>
              <w:t>和安全员</w:t>
            </w:r>
            <w:r>
              <w:rPr>
                <w:rFonts w:hint="eastAsia" w:ascii="方正仿宋_GBK" w:hAnsi="方正仿宋_GBK" w:eastAsia="方正仿宋_GBK" w:cs="方正仿宋_GBK"/>
                <w:color w:val="000000"/>
                <w:szCs w:val="21"/>
                <w:lang w:val="en-US" w:eastAsia="zh-CN"/>
              </w:rPr>
              <w:t>近两个月</w:t>
            </w:r>
            <w:r>
              <w:rPr>
                <w:rFonts w:hint="eastAsia" w:ascii="方正仿宋_GBK" w:hAnsi="方正仿宋_GBK" w:eastAsia="方正仿宋_GBK" w:cs="方正仿宋_GBK"/>
                <w:color w:val="000000"/>
                <w:szCs w:val="21"/>
              </w:rPr>
              <w:t>在劳务公司缴纳社保的证明复印件以及安全员的安全员资格证书复印件。承诺得</w:t>
            </w:r>
            <w:r>
              <w:rPr>
                <w:rFonts w:hint="eastAsia" w:ascii="方正仿宋_GBK" w:hAnsi="方正仿宋_GBK" w:eastAsia="方正仿宋_GBK" w:cs="方正仿宋_GBK"/>
                <w:color w:val="000000"/>
                <w:szCs w:val="21"/>
                <w:lang w:val="en-US" w:eastAsia="zh-CN"/>
              </w:rPr>
              <w:t>2</w:t>
            </w:r>
            <w:r>
              <w:rPr>
                <w:rFonts w:hint="eastAsia" w:ascii="方正仿宋_GBK" w:hAnsi="方正仿宋_GBK" w:eastAsia="方正仿宋_GBK" w:cs="方正仿宋_GBK"/>
                <w:color w:val="000000"/>
                <w:szCs w:val="21"/>
              </w:rPr>
              <w:t>分，否则得0分；</w:t>
            </w:r>
          </w:p>
          <w:p>
            <w:pPr>
              <w:numPr>
                <w:ilvl w:val="0"/>
                <w:numId w:val="6"/>
              </w:numPr>
              <w:snapToGrid w:val="0"/>
              <w:spacing w:line="300" w:lineRule="exact"/>
              <w:jc w:val="left"/>
              <w:rPr>
                <w:rFonts w:hint="eastAsia" w:ascii="方正仿宋_GBK" w:hAnsi="方正仿宋_GBK" w:eastAsia="方正仿宋_GBK" w:cs="方正仿宋_GBK"/>
                <w:szCs w:val="21"/>
              </w:rPr>
            </w:pPr>
            <w:r>
              <w:rPr>
                <w:rFonts w:hint="eastAsia" w:ascii="方正仿宋_GBK" w:hAnsi="方正仿宋_GBK" w:eastAsia="方正仿宋_GBK" w:cs="方正仿宋_GBK"/>
                <w:color w:val="000000"/>
                <w:szCs w:val="21"/>
              </w:rPr>
              <w:t>设备供应商承诺除项目负责人以外，另外至少安排5名符合绳索技术或高空作业类的专业人员驻守现场，并随时接受检查。承诺得</w:t>
            </w:r>
            <w:r>
              <w:rPr>
                <w:rFonts w:hint="eastAsia" w:ascii="方正仿宋_GBK" w:hAnsi="方正仿宋_GBK" w:eastAsia="方正仿宋_GBK" w:cs="方正仿宋_GBK"/>
                <w:color w:val="000000"/>
                <w:szCs w:val="21"/>
                <w:lang w:val="en-US" w:eastAsia="zh-CN"/>
              </w:rPr>
              <w:t>2</w:t>
            </w:r>
            <w:r>
              <w:rPr>
                <w:rFonts w:hint="eastAsia" w:ascii="方正仿宋_GBK" w:hAnsi="方正仿宋_GBK" w:eastAsia="方正仿宋_GBK" w:cs="方正仿宋_GBK"/>
                <w:color w:val="000000"/>
                <w:szCs w:val="21"/>
              </w:rPr>
              <w:t>分，否则得0分。</w:t>
            </w:r>
          </w:p>
        </w:tc>
        <w:tc>
          <w:tcPr>
            <w:tcW w:w="1035" w:type="pct"/>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left"/>
              <w:rPr>
                <w:rFonts w:hint="eastAsia" w:ascii="方正仿宋_GBK" w:hAnsi="方正仿宋_GBK" w:eastAsia="方正仿宋_GBK" w:cs="方正仿宋_GBK"/>
                <w:szCs w:val="21"/>
              </w:rPr>
            </w:pPr>
            <w:r>
              <w:rPr>
                <w:rFonts w:hint="eastAsia" w:ascii="方正仿宋_GBK" w:hAnsi="方正仿宋_GBK" w:eastAsia="方正仿宋_GBK" w:cs="方正仿宋_GBK"/>
                <w:szCs w:val="21"/>
                <w:lang w:val="en-US" w:eastAsia="zh-CN"/>
              </w:rPr>
              <w:t>提供</w:t>
            </w:r>
            <w:r>
              <w:rPr>
                <w:rFonts w:hint="eastAsia" w:ascii="方正仿宋_GBK" w:hAnsi="方正仿宋_GBK" w:eastAsia="方正仿宋_GBK" w:cs="方正仿宋_GBK"/>
                <w:szCs w:val="21"/>
              </w:rPr>
              <w:t>监测点建设期人员组织安排</w:t>
            </w:r>
            <w:r>
              <w:rPr>
                <w:rFonts w:hint="eastAsia" w:ascii="方正仿宋_GBK" w:hAnsi="方正仿宋_GBK" w:eastAsia="方正仿宋_GBK" w:cs="方正仿宋_GBK"/>
                <w:szCs w:val="21"/>
                <w:lang w:val="en-US" w:eastAsia="zh-CN"/>
              </w:rPr>
              <w:t>表、</w:t>
            </w:r>
            <w:r>
              <w:rPr>
                <w:rFonts w:hint="eastAsia" w:ascii="方正仿宋_GBK" w:hAnsi="方正仿宋_GBK" w:eastAsia="方正仿宋_GBK" w:cs="方正仿宋_GBK"/>
                <w:szCs w:val="21"/>
              </w:rPr>
              <w:t>承诺书</w:t>
            </w:r>
            <w:r>
              <w:rPr>
                <w:rFonts w:hint="eastAsia" w:ascii="方正仿宋_GBK" w:hAnsi="方正仿宋_GBK" w:eastAsia="方正仿宋_GBK" w:cs="方正仿宋_GBK"/>
                <w:szCs w:val="21"/>
                <w:lang w:val="en-US" w:eastAsia="zh-CN"/>
              </w:rPr>
              <w:t>及相关证明材料复印件，原件备查。</w:t>
            </w:r>
          </w:p>
        </w:tc>
      </w:tr>
    </w:tbl>
    <w:p>
      <w:pPr>
        <w:pStyle w:val="13"/>
        <w:rPr>
          <w:rFonts w:hint="eastAsia" w:ascii="方正仿宋_GBK" w:hAnsi="方正仿宋_GBK" w:eastAsia="方正仿宋_GBK" w:cs="方正仿宋_GBK"/>
          <w:szCs w:val="21"/>
        </w:rPr>
      </w:pPr>
    </w:p>
    <w:p>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lang w:val="en-US" w:eastAsia="zh-CN"/>
        </w:rPr>
        <w:t>遴选响应</w:t>
      </w:r>
      <w:r>
        <w:rPr>
          <w:rFonts w:hint="eastAsia" w:ascii="仿宋_GB2312" w:hAnsi="仿宋_GB2312" w:eastAsia="仿宋_GB2312" w:cs="仿宋_GB2312"/>
          <w:sz w:val="28"/>
          <w:szCs w:val="28"/>
        </w:rPr>
        <w:t>文件格式要求：见附件</w:t>
      </w:r>
      <w:r>
        <w:rPr>
          <w:rFonts w:hint="eastAsia" w:ascii="仿宋_GB2312" w:hAnsi="仿宋_GB2312" w:eastAsia="仿宋_GB2312" w:cs="仿宋_GB2312"/>
          <w:sz w:val="28"/>
          <w:szCs w:val="28"/>
          <w:lang w:val="en-US" w:eastAsia="zh-CN"/>
        </w:rPr>
        <w:t>一</w:t>
      </w:r>
      <w:r>
        <w:rPr>
          <w:rFonts w:hint="eastAsia" w:ascii="仿宋_GB2312" w:hAnsi="仿宋_GB2312" w:eastAsia="仿宋_GB2312" w:cs="仿宋_GB2312"/>
          <w:sz w:val="28"/>
          <w:szCs w:val="28"/>
        </w:rPr>
        <w:t>。</w:t>
      </w:r>
    </w:p>
    <w:p>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5、供应商报价须一并提供有效的营业执照并加盖公章。</w:t>
      </w:r>
    </w:p>
    <w:p>
      <w:pPr>
        <w:pStyle w:val="5"/>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6、供应商报价时针对“四、供应商资格要求”相应条款中需要提供证明材料的，须提供对应佐证材料并加盖公章，否则报价无效。</w:t>
      </w:r>
    </w:p>
    <w:p>
      <w:pPr>
        <w:pStyle w:val="5"/>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7、供应商报价时须针对“五、商务要求”相应条款中需要提供证明材料的，须提供对应佐证材料并加盖公章，否则报价无效。</w:t>
      </w:r>
    </w:p>
    <w:p>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8、报价书须加盖报价方公章，否则无效。</w:t>
      </w:r>
    </w:p>
    <w:p>
      <w:pPr>
        <w:pStyle w:val="5"/>
        <w:ind w:firstLine="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七、报价文件递交方式及时间</w:t>
      </w:r>
    </w:p>
    <w:p>
      <w:pPr>
        <w:adjustRightInd w:val="0"/>
        <w:snapToGrid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将所有</w:t>
      </w:r>
      <w:r>
        <w:rPr>
          <w:rFonts w:hint="eastAsia" w:ascii="仿宋_GB2312" w:hAnsi="仿宋_GB2312" w:eastAsia="仿宋_GB2312" w:cs="仿宋_GB2312"/>
          <w:sz w:val="28"/>
          <w:szCs w:val="28"/>
          <w:lang w:val="en-US" w:eastAsia="zh-CN"/>
        </w:rPr>
        <w:t>响应文件</w:t>
      </w:r>
      <w:r>
        <w:rPr>
          <w:rFonts w:hint="eastAsia" w:ascii="仿宋_GB2312" w:hAnsi="仿宋_GB2312" w:eastAsia="仿宋_GB2312" w:cs="仿宋_GB2312"/>
          <w:sz w:val="28"/>
          <w:szCs w:val="28"/>
        </w:rPr>
        <w:t>资料装订并密封</w:t>
      </w:r>
      <w:r>
        <w:rPr>
          <w:rFonts w:hint="eastAsia" w:ascii="仿宋_GB2312" w:hAnsi="仿宋_GB2312" w:eastAsia="仿宋_GB2312" w:cs="仿宋_GB2312"/>
          <w:sz w:val="28"/>
          <w:szCs w:val="28"/>
          <w:lang w:val="en-US" w:eastAsia="zh-CN"/>
        </w:rPr>
        <w:t>加盖公章</w:t>
      </w:r>
      <w:r>
        <w:rPr>
          <w:rFonts w:hint="eastAsia" w:ascii="仿宋_GB2312" w:hAnsi="仿宋_GB2312" w:eastAsia="仿宋_GB2312" w:cs="仿宋_GB2312"/>
          <w:sz w:val="28"/>
          <w:szCs w:val="28"/>
        </w:rPr>
        <w:t>后在2025年2月</w:t>
      </w:r>
      <w:r>
        <w:rPr>
          <w:rFonts w:hint="eastAsia" w:ascii="仿宋_GB2312" w:hAnsi="仿宋_GB2312" w:eastAsia="仿宋_GB2312" w:cs="仿宋_GB2312"/>
          <w:sz w:val="28"/>
          <w:szCs w:val="28"/>
          <w:lang w:val="en-US" w:eastAsia="zh-CN"/>
        </w:rPr>
        <w:t>26</w:t>
      </w:r>
      <w:r>
        <w:rPr>
          <w:rFonts w:hint="eastAsia" w:ascii="仿宋_GB2312" w:hAnsi="仿宋_GB2312" w:eastAsia="仿宋_GB2312" w:cs="仿宋_GB2312"/>
          <w:sz w:val="28"/>
          <w:szCs w:val="28"/>
        </w:rPr>
        <w:t>日北京时间</w:t>
      </w:r>
      <w:r>
        <w:rPr>
          <w:rFonts w:hint="eastAsia" w:ascii="仿宋_GB2312" w:hAnsi="仿宋_GB2312" w:eastAsia="仿宋_GB2312" w:cs="仿宋_GB2312"/>
          <w:sz w:val="28"/>
          <w:szCs w:val="28"/>
          <w:lang w:val="en-US" w:eastAsia="zh-CN"/>
        </w:rPr>
        <w:t>17</w:t>
      </w:r>
      <w:r>
        <w:rPr>
          <w:rFonts w:hint="eastAsia" w:ascii="仿宋_GB2312" w:hAnsi="仿宋_GB2312" w:eastAsia="仿宋_GB2312" w:cs="仿宋_GB2312"/>
          <w:sz w:val="28"/>
          <w:szCs w:val="28"/>
        </w:rPr>
        <w:t>:00前送至综合楼1706（重庆市渝北区兰馨大道111号），联系人：孙老师，联系电话：81925854。</w:t>
      </w:r>
    </w:p>
    <w:p>
      <w:pPr>
        <w:pStyle w:val="13"/>
        <w:ind w:firstLine="560"/>
        <w:rPr>
          <w:rFonts w:hint="eastAsia" w:ascii="仿宋_GB2312" w:hAnsi="仿宋_GB2312" w:eastAsia="仿宋_GB2312" w:cs="仿宋_GB2312"/>
          <w:sz w:val="28"/>
          <w:szCs w:val="28"/>
        </w:rPr>
      </w:pPr>
    </w:p>
    <w:p>
      <w:pPr>
        <w:pStyle w:val="13"/>
        <w:ind w:firstLine="0" w:firstLineChars="0"/>
        <w:rPr>
          <w:rFonts w:hint="eastAsia" w:ascii="仿宋_GB2312" w:hAnsi="仿宋_GB2312" w:eastAsia="仿宋_GB2312" w:cs="仿宋_GB2312"/>
          <w:sz w:val="28"/>
          <w:szCs w:val="28"/>
        </w:rPr>
      </w:pPr>
    </w:p>
    <w:p>
      <w:pPr>
        <w:pStyle w:val="13"/>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附件一：响应文件格式</w:t>
      </w:r>
    </w:p>
    <w:p>
      <w:pPr>
        <w:snapToGrid w:val="0"/>
        <w:spacing w:line="520" w:lineRule="exact"/>
        <w:rPr>
          <w:rFonts w:hint="eastAsia" w:ascii="仿宋_GB2312" w:hAnsi="仿宋_GB2312" w:eastAsia="仿宋_GB2312" w:cs="仿宋_GB2312"/>
          <w:kern w:val="0"/>
          <w:sz w:val="28"/>
          <w:szCs w:val="28"/>
        </w:rPr>
      </w:pPr>
      <w:r>
        <w:rPr>
          <w:rFonts w:hint="eastAsia" w:ascii="仿宋_GB2312" w:hAnsi="仿宋_GB2312" w:eastAsia="仿宋_GB2312" w:cs="仿宋_GB2312"/>
          <w:sz w:val="28"/>
          <w:szCs w:val="28"/>
        </w:rPr>
        <w:t>附件二：</w:t>
      </w:r>
      <w:r>
        <w:rPr>
          <w:rFonts w:hint="eastAsia" w:ascii="仿宋_GB2312" w:hAnsi="仿宋_GB2312" w:eastAsia="仿宋_GB2312" w:cs="仿宋_GB2312"/>
          <w:kern w:val="0"/>
          <w:sz w:val="28"/>
          <w:szCs w:val="28"/>
        </w:rPr>
        <w:t>重庆市地质灾害专业监测预警技术要求（试行）</w:t>
      </w:r>
    </w:p>
    <w:p>
      <w:pPr>
        <w:pStyle w:val="13"/>
        <w:ind w:firstLine="0" w:firstLineChars="0"/>
        <w:rPr>
          <w:rFonts w:hint="eastAsia" w:ascii="仿宋_GB2312" w:hAnsi="仿宋_GB2312" w:eastAsia="仿宋_GB2312" w:cs="仿宋_GB2312"/>
          <w:sz w:val="28"/>
          <w:szCs w:val="28"/>
        </w:rPr>
      </w:pPr>
    </w:p>
    <w:p>
      <w:pPr>
        <w:snapToGrid w:val="0"/>
        <w:spacing w:line="520" w:lineRule="exact"/>
        <w:rPr>
          <w:rFonts w:hint="eastAsia" w:ascii="仿宋_GB2312" w:hAnsi="仿宋_GB2312" w:eastAsia="仿宋_GB2312" w:cs="仿宋_GB2312"/>
          <w:kern w:val="0"/>
          <w:sz w:val="28"/>
          <w:szCs w:val="28"/>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1" w:fontKey="{4CD2C3D1-4951-4028-B735-255923AEE29F}"/>
  </w:font>
  <w:font w:name="方正小标宋_GBK">
    <w:panose1 w:val="03000509000000000000"/>
    <w:charset w:val="86"/>
    <w:family w:val="script"/>
    <w:pitch w:val="default"/>
    <w:sig w:usb0="00000001" w:usb1="080E0000" w:usb2="00000000" w:usb3="00000000" w:csb0="00040000" w:csb1="00000000"/>
    <w:embedRegular r:id="rId2" w:fontKey="{8CF148AF-B93A-4383-9CD0-9000267E01C5}"/>
  </w:font>
  <w:font w:name="方正仿宋_GBK">
    <w:panose1 w:val="03000509000000000000"/>
    <w:charset w:val="86"/>
    <w:family w:val="script"/>
    <w:pitch w:val="default"/>
    <w:sig w:usb0="00000001" w:usb1="080E0000" w:usb2="00000000" w:usb3="00000000" w:csb0="00040000" w:csb1="00000000"/>
    <w:embedRegular r:id="rId3" w:fontKey="{AFABC013-CAD2-4715-9707-D3A4F77CB625}"/>
  </w:font>
  <w:font w:name="仿宋">
    <w:panose1 w:val="02010609060101010101"/>
    <w:charset w:val="86"/>
    <w:family w:val="auto"/>
    <w:pitch w:val="default"/>
    <w:sig w:usb0="800002BF" w:usb1="38CF7CFA" w:usb2="00000016" w:usb3="00000000" w:csb0="00040001" w:csb1="00000000"/>
    <w:embedRegular r:id="rId4" w:fontKey="{CFF0EEBE-130B-42A7-A4BC-534790F741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vert="horz" wrap="none" lIns="0" tIns="0" rIns="0" bIns="0" anchor="t">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Alies8kBAACSAwAADgAAAAAAAAABACAAAAAfAQAAZHJzL2Uyb0Rv&#10;Yy54bWxQSwUGAAAAAAYABgBZAQAAWgUAAAAA&#10;">
              <v:fill on="f" focussize="0,0"/>
              <v:stroke on="f"/>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54B6C9"/>
    <w:multiLevelType w:val="singleLevel"/>
    <w:tmpl w:val="9054B6C9"/>
    <w:lvl w:ilvl="0" w:tentative="0">
      <w:start w:val="3"/>
      <w:numFmt w:val="chineseCounting"/>
      <w:suff w:val="nothing"/>
      <w:lvlText w:val="%1、"/>
      <w:lvlJc w:val="left"/>
      <w:rPr>
        <w:rFonts w:hint="eastAsia"/>
      </w:rPr>
    </w:lvl>
  </w:abstractNum>
  <w:abstractNum w:abstractNumId="1">
    <w:nsid w:val="9DA47E37"/>
    <w:multiLevelType w:val="singleLevel"/>
    <w:tmpl w:val="9DA47E37"/>
    <w:lvl w:ilvl="0" w:tentative="0">
      <w:start w:val="1"/>
      <w:numFmt w:val="decimal"/>
      <w:lvlText w:val="%1."/>
      <w:lvlJc w:val="left"/>
      <w:pPr>
        <w:tabs>
          <w:tab w:val="left" w:pos="312"/>
        </w:tabs>
      </w:pPr>
    </w:lvl>
  </w:abstractNum>
  <w:abstractNum w:abstractNumId="2">
    <w:nsid w:val="B5C43B1E"/>
    <w:multiLevelType w:val="singleLevel"/>
    <w:tmpl w:val="B5C43B1E"/>
    <w:lvl w:ilvl="0" w:tentative="0">
      <w:start w:val="1"/>
      <w:numFmt w:val="decimal"/>
      <w:lvlText w:val="%1."/>
      <w:lvlJc w:val="left"/>
      <w:pPr>
        <w:tabs>
          <w:tab w:val="left" w:pos="312"/>
        </w:tabs>
      </w:pPr>
    </w:lvl>
  </w:abstractNum>
  <w:abstractNum w:abstractNumId="3">
    <w:nsid w:val="C55C82BD"/>
    <w:multiLevelType w:val="singleLevel"/>
    <w:tmpl w:val="C55C82BD"/>
    <w:lvl w:ilvl="0" w:tentative="0">
      <w:start w:val="1"/>
      <w:numFmt w:val="chineseCounting"/>
      <w:suff w:val="nothing"/>
      <w:lvlText w:val="（%1）"/>
      <w:lvlJc w:val="left"/>
      <w:rPr>
        <w:rFonts w:hint="eastAsia"/>
      </w:rPr>
    </w:lvl>
  </w:abstractNum>
  <w:abstractNum w:abstractNumId="4">
    <w:nsid w:val="E4B748AA"/>
    <w:multiLevelType w:val="singleLevel"/>
    <w:tmpl w:val="E4B748AA"/>
    <w:lvl w:ilvl="0" w:tentative="0">
      <w:start w:val="1"/>
      <w:numFmt w:val="decimal"/>
      <w:suff w:val="nothing"/>
      <w:lvlText w:val="（%1）"/>
      <w:lvlJc w:val="left"/>
    </w:lvl>
  </w:abstractNum>
  <w:abstractNum w:abstractNumId="5">
    <w:nsid w:val="61D74DB2"/>
    <w:multiLevelType w:val="singleLevel"/>
    <w:tmpl w:val="61D74DB2"/>
    <w:lvl w:ilvl="0" w:tentative="0">
      <w:start w:val="1"/>
      <w:numFmt w:val="decimal"/>
      <w:suff w:val="nothing"/>
      <w:lvlText w:val="（%1）"/>
      <w:lvlJc w:val="left"/>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ZmY4ZGM2ZWVjMmYwOTY2N2QzYjQzYzQ4YWY1MmIifQ=="/>
  </w:docVars>
  <w:rsids>
    <w:rsidRoot w:val="00BF6D76"/>
    <w:rsid w:val="00055794"/>
    <w:rsid w:val="000727BE"/>
    <w:rsid w:val="00104550"/>
    <w:rsid w:val="001E0F4D"/>
    <w:rsid w:val="00396F3D"/>
    <w:rsid w:val="00407840"/>
    <w:rsid w:val="004200CE"/>
    <w:rsid w:val="00437744"/>
    <w:rsid w:val="004F2710"/>
    <w:rsid w:val="005A6E5E"/>
    <w:rsid w:val="0063395A"/>
    <w:rsid w:val="006C530E"/>
    <w:rsid w:val="0080330D"/>
    <w:rsid w:val="0084193B"/>
    <w:rsid w:val="008C3939"/>
    <w:rsid w:val="00A019EE"/>
    <w:rsid w:val="00AE57A0"/>
    <w:rsid w:val="00BC186D"/>
    <w:rsid w:val="00BF6D76"/>
    <w:rsid w:val="00CB46DF"/>
    <w:rsid w:val="00CC3B84"/>
    <w:rsid w:val="00DA7075"/>
    <w:rsid w:val="014B14A8"/>
    <w:rsid w:val="01510D83"/>
    <w:rsid w:val="019D544C"/>
    <w:rsid w:val="032B0307"/>
    <w:rsid w:val="04763EE5"/>
    <w:rsid w:val="04B81C16"/>
    <w:rsid w:val="05914F41"/>
    <w:rsid w:val="062F3136"/>
    <w:rsid w:val="065906F6"/>
    <w:rsid w:val="069B0266"/>
    <w:rsid w:val="06A046EE"/>
    <w:rsid w:val="072D689B"/>
    <w:rsid w:val="07660C34"/>
    <w:rsid w:val="07697740"/>
    <w:rsid w:val="078E2CF2"/>
    <w:rsid w:val="07E478DC"/>
    <w:rsid w:val="087A69BA"/>
    <w:rsid w:val="08874912"/>
    <w:rsid w:val="0890741D"/>
    <w:rsid w:val="08A04525"/>
    <w:rsid w:val="08B35053"/>
    <w:rsid w:val="08CC4A1B"/>
    <w:rsid w:val="09281299"/>
    <w:rsid w:val="09D1582A"/>
    <w:rsid w:val="09F31DF1"/>
    <w:rsid w:val="0AA6580A"/>
    <w:rsid w:val="0AF56886"/>
    <w:rsid w:val="0AFA046E"/>
    <w:rsid w:val="0B01399E"/>
    <w:rsid w:val="0B27202A"/>
    <w:rsid w:val="0B2A34DD"/>
    <w:rsid w:val="0B927485"/>
    <w:rsid w:val="0BB0283D"/>
    <w:rsid w:val="0BF63EAB"/>
    <w:rsid w:val="0C1961C6"/>
    <w:rsid w:val="0C363819"/>
    <w:rsid w:val="0C3B7F93"/>
    <w:rsid w:val="0C470638"/>
    <w:rsid w:val="0CD67CC5"/>
    <w:rsid w:val="0D781E29"/>
    <w:rsid w:val="0DA9532B"/>
    <w:rsid w:val="0DF94CD8"/>
    <w:rsid w:val="0E4C5966"/>
    <w:rsid w:val="0E8A7A8B"/>
    <w:rsid w:val="0EE213FB"/>
    <w:rsid w:val="0EEF0710"/>
    <w:rsid w:val="0EF56D96"/>
    <w:rsid w:val="0EFB1BB6"/>
    <w:rsid w:val="0F02192F"/>
    <w:rsid w:val="0F4C6460"/>
    <w:rsid w:val="0FB26250"/>
    <w:rsid w:val="0FB31897"/>
    <w:rsid w:val="101055F2"/>
    <w:rsid w:val="10F97774"/>
    <w:rsid w:val="119D3040"/>
    <w:rsid w:val="11C93DB9"/>
    <w:rsid w:val="11EB3571"/>
    <w:rsid w:val="11FA70DC"/>
    <w:rsid w:val="127E4EA9"/>
    <w:rsid w:val="129A65A6"/>
    <w:rsid w:val="131F396E"/>
    <w:rsid w:val="137A04D4"/>
    <w:rsid w:val="13F04A5A"/>
    <w:rsid w:val="140E57F5"/>
    <w:rsid w:val="14627163"/>
    <w:rsid w:val="148D3B44"/>
    <w:rsid w:val="149D4965"/>
    <w:rsid w:val="14A359F5"/>
    <w:rsid w:val="150519C9"/>
    <w:rsid w:val="15090F10"/>
    <w:rsid w:val="155F7720"/>
    <w:rsid w:val="15B904C0"/>
    <w:rsid w:val="15FD0D65"/>
    <w:rsid w:val="160D2D3C"/>
    <w:rsid w:val="16EC6B9C"/>
    <w:rsid w:val="17E23BBC"/>
    <w:rsid w:val="17EA0FC8"/>
    <w:rsid w:val="19555B47"/>
    <w:rsid w:val="19932D33"/>
    <w:rsid w:val="1A35006E"/>
    <w:rsid w:val="1A9A68F5"/>
    <w:rsid w:val="1AF42245"/>
    <w:rsid w:val="1BB2138A"/>
    <w:rsid w:val="1BC51582"/>
    <w:rsid w:val="1BF4566B"/>
    <w:rsid w:val="1BF70D0C"/>
    <w:rsid w:val="1C1C3FD7"/>
    <w:rsid w:val="1D5255A7"/>
    <w:rsid w:val="1D677BC5"/>
    <w:rsid w:val="1E9A4645"/>
    <w:rsid w:val="1EA704C8"/>
    <w:rsid w:val="1F8D1E7C"/>
    <w:rsid w:val="1FB41D91"/>
    <w:rsid w:val="2000578D"/>
    <w:rsid w:val="200F794B"/>
    <w:rsid w:val="203A70E2"/>
    <w:rsid w:val="207277FE"/>
    <w:rsid w:val="20B0069C"/>
    <w:rsid w:val="20FE0D23"/>
    <w:rsid w:val="214C3BAE"/>
    <w:rsid w:val="216102D0"/>
    <w:rsid w:val="21886A3B"/>
    <w:rsid w:val="22400268"/>
    <w:rsid w:val="229D3EC2"/>
    <w:rsid w:val="23312982"/>
    <w:rsid w:val="23BA71AA"/>
    <w:rsid w:val="23BD1E38"/>
    <w:rsid w:val="24247062"/>
    <w:rsid w:val="245C47B5"/>
    <w:rsid w:val="247C7268"/>
    <w:rsid w:val="24983315"/>
    <w:rsid w:val="24A21B0B"/>
    <w:rsid w:val="24F61130"/>
    <w:rsid w:val="24FF3D57"/>
    <w:rsid w:val="25BE487D"/>
    <w:rsid w:val="25F8679A"/>
    <w:rsid w:val="26567EF8"/>
    <w:rsid w:val="26AE6283"/>
    <w:rsid w:val="26BB5599"/>
    <w:rsid w:val="274F26CF"/>
    <w:rsid w:val="27A433C1"/>
    <w:rsid w:val="280B3FC1"/>
    <w:rsid w:val="28246B07"/>
    <w:rsid w:val="287C56BE"/>
    <w:rsid w:val="29B24D26"/>
    <w:rsid w:val="2A827714"/>
    <w:rsid w:val="2AB0164F"/>
    <w:rsid w:val="2AC73C1A"/>
    <w:rsid w:val="2AE12465"/>
    <w:rsid w:val="2C5B56B7"/>
    <w:rsid w:val="2CD10A17"/>
    <w:rsid w:val="2DC25DA1"/>
    <w:rsid w:val="2E6D3CBB"/>
    <w:rsid w:val="2E855ADF"/>
    <w:rsid w:val="2E894691"/>
    <w:rsid w:val="2EBB3124"/>
    <w:rsid w:val="2ED523E6"/>
    <w:rsid w:val="2F074DB3"/>
    <w:rsid w:val="2F0F5E2C"/>
    <w:rsid w:val="2FA7273E"/>
    <w:rsid w:val="304C544B"/>
    <w:rsid w:val="32214924"/>
    <w:rsid w:val="32250554"/>
    <w:rsid w:val="329266DD"/>
    <w:rsid w:val="32A77828"/>
    <w:rsid w:val="33026D9E"/>
    <w:rsid w:val="335829B0"/>
    <w:rsid w:val="33B148F1"/>
    <w:rsid w:val="33E47230"/>
    <w:rsid w:val="34203812"/>
    <w:rsid w:val="34684D49"/>
    <w:rsid w:val="347919CA"/>
    <w:rsid w:val="35192208"/>
    <w:rsid w:val="353004ED"/>
    <w:rsid w:val="355559BD"/>
    <w:rsid w:val="35695279"/>
    <w:rsid w:val="35C267C1"/>
    <w:rsid w:val="364A4824"/>
    <w:rsid w:val="365B1BD8"/>
    <w:rsid w:val="36D84407"/>
    <w:rsid w:val="37232E6C"/>
    <w:rsid w:val="3738440D"/>
    <w:rsid w:val="37DA742A"/>
    <w:rsid w:val="37E43F7F"/>
    <w:rsid w:val="38070BF9"/>
    <w:rsid w:val="38074AF9"/>
    <w:rsid w:val="381672D6"/>
    <w:rsid w:val="381742BD"/>
    <w:rsid w:val="38631313"/>
    <w:rsid w:val="389724D7"/>
    <w:rsid w:val="390D04A7"/>
    <w:rsid w:val="3926502D"/>
    <w:rsid w:val="394C1291"/>
    <w:rsid w:val="39BE3C89"/>
    <w:rsid w:val="39DC420F"/>
    <w:rsid w:val="3A104852"/>
    <w:rsid w:val="3AC87FD1"/>
    <w:rsid w:val="3ACF4F4A"/>
    <w:rsid w:val="3B6B3A9C"/>
    <w:rsid w:val="3B9C1484"/>
    <w:rsid w:val="3C3B065F"/>
    <w:rsid w:val="3D4C0344"/>
    <w:rsid w:val="3DD81385"/>
    <w:rsid w:val="3DEB17A5"/>
    <w:rsid w:val="3E693B97"/>
    <w:rsid w:val="3E8D432B"/>
    <w:rsid w:val="3EEC7BC8"/>
    <w:rsid w:val="3F344AF2"/>
    <w:rsid w:val="3FBC3324"/>
    <w:rsid w:val="400870F1"/>
    <w:rsid w:val="406A55F0"/>
    <w:rsid w:val="40DE33C1"/>
    <w:rsid w:val="40DF7E9D"/>
    <w:rsid w:val="410045ED"/>
    <w:rsid w:val="414A67AD"/>
    <w:rsid w:val="415A0DB4"/>
    <w:rsid w:val="419C74B1"/>
    <w:rsid w:val="41F0312A"/>
    <w:rsid w:val="42135577"/>
    <w:rsid w:val="421C3283"/>
    <w:rsid w:val="4236679F"/>
    <w:rsid w:val="42BE4111"/>
    <w:rsid w:val="42CB59A5"/>
    <w:rsid w:val="43973DF4"/>
    <w:rsid w:val="44480394"/>
    <w:rsid w:val="44526C98"/>
    <w:rsid w:val="446B3DCC"/>
    <w:rsid w:val="447830E2"/>
    <w:rsid w:val="44AB18FE"/>
    <w:rsid w:val="44D74780"/>
    <w:rsid w:val="44ED72D0"/>
    <w:rsid w:val="45AA4758"/>
    <w:rsid w:val="45D911CC"/>
    <w:rsid w:val="46685415"/>
    <w:rsid w:val="469071FE"/>
    <w:rsid w:val="46F47B69"/>
    <w:rsid w:val="4737247F"/>
    <w:rsid w:val="47514FEC"/>
    <w:rsid w:val="4793207A"/>
    <w:rsid w:val="4875266D"/>
    <w:rsid w:val="48AF5FCC"/>
    <w:rsid w:val="48E07B1E"/>
    <w:rsid w:val="49EE7CDB"/>
    <w:rsid w:val="4A133393"/>
    <w:rsid w:val="4A71005C"/>
    <w:rsid w:val="4A7843BC"/>
    <w:rsid w:val="4A8721BB"/>
    <w:rsid w:val="4B315D69"/>
    <w:rsid w:val="4BB11B3A"/>
    <w:rsid w:val="4BF15754"/>
    <w:rsid w:val="4C0771DE"/>
    <w:rsid w:val="4C1A649C"/>
    <w:rsid w:val="4C2C4D07"/>
    <w:rsid w:val="4C421E35"/>
    <w:rsid w:val="4C6413CE"/>
    <w:rsid w:val="4C7D090C"/>
    <w:rsid w:val="4D3D22A1"/>
    <w:rsid w:val="4DCD35D1"/>
    <w:rsid w:val="4E6340B8"/>
    <w:rsid w:val="4F691C49"/>
    <w:rsid w:val="4FB82BD0"/>
    <w:rsid w:val="4FC5031A"/>
    <w:rsid w:val="4FDB412F"/>
    <w:rsid w:val="500365D1"/>
    <w:rsid w:val="500707B0"/>
    <w:rsid w:val="50935EC0"/>
    <w:rsid w:val="50B91C00"/>
    <w:rsid w:val="50DB09E6"/>
    <w:rsid w:val="511B709E"/>
    <w:rsid w:val="511C4B20"/>
    <w:rsid w:val="51441FBC"/>
    <w:rsid w:val="517B293B"/>
    <w:rsid w:val="524C363D"/>
    <w:rsid w:val="52750905"/>
    <w:rsid w:val="52A3667B"/>
    <w:rsid w:val="52F11223"/>
    <w:rsid w:val="52F61E27"/>
    <w:rsid w:val="53275E79"/>
    <w:rsid w:val="532C30B1"/>
    <w:rsid w:val="533D001D"/>
    <w:rsid w:val="53667DDD"/>
    <w:rsid w:val="53B84F4D"/>
    <w:rsid w:val="543F1B9D"/>
    <w:rsid w:val="547B5C4A"/>
    <w:rsid w:val="54841D67"/>
    <w:rsid w:val="54B13782"/>
    <w:rsid w:val="54EB37F4"/>
    <w:rsid w:val="551927EC"/>
    <w:rsid w:val="565373C2"/>
    <w:rsid w:val="56862083"/>
    <w:rsid w:val="56AF79C4"/>
    <w:rsid w:val="56C4796A"/>
    <w:rsid w:val="572173B5"/>
    <w:rsid w:val="57D80FAA"/>
    <w:rsid w:val="57EE28CF"/>
    <w:rsid w:val="58075A05"/>
    <w:rsid w:val="58765D26"/>
    <w:rsid w:val="58C44EB1"/>
    <w:rsid w:val="592D5DB6"/>
    <w:rsid w:val="5A6951E1"/>
    <w:rsid w:val="5BC16969"/>
    <w:rsid w:val="5BF25068"/>
    <w:rsid w:val="5C7C3948"/>
    <w:rsid w:val="5C844F08"/>
    <w:rsid w:val="5C9F1571"/>
    <w:rsid w:val="5C9F1D17"/>
    <w:rsid w:val="5CAF76FD"/>
    <w:rsid w:val="5CB87BCD"/>
    <w:rsid w:val="5D3F540B"/>
    <w:rsid w:val="5D681792"/>
    <w:rsid w:val="5DDE2075"/>
    <w:rsid w:val="5E143BBC"/>
    <w:rsid w:val="5EAB19DE"/>
    <w:rsid w:val="5F0130CD"/>
    <w:rsid w:val="5F2A35B1"/>
    <w:rsid w:val="5F390348"/>
    <w:rsid w:val="5F93256A"/>
    <w:rsid w:val="609F6996"/>
    <w:rsid w:val="616F7F68"/>
    <w:rsid w:val="61721A9F"/>
    <w:rsid w:val="618E081D"/>
    <w:rsid w:val="61943AF7"/>
    <w:rsid w:val="61A274BD"/>
    <w:rsid w:val="61F62608"/>
    <w:rsid w:val="620B6B90"/>
    <w:rsid w:val="62B248ED"/>
    <w:rsid w:val="630D4511"/>
    <w:rsid w:val="63B27A84"/>
    <w:rsid w:val="63EC3A6A"/>
    <w:rsid w:val="6416016F"/>
    <w:rsid w:val="64BA54D1"/>
    <w:rsid w:val="65644665"/>
    <w:rsid w:val="65956E9C"/>
    <w:rsid w:val="65D2051C"/>
    <w:rsid w:val="65F870D7"/>
    <w:rsid w:val="665E22FF"/>
    <w:rsid w:val="6663343E"/>
    <w:rsid w:val="668F6351"/>
    <w:rsid w:val="66A24A73"/>
    <w:rsid w:val="6744072E"/>
    <w:rsid w:val="67C96BAF"/>
    <w:rsid w:val="67D71AB0"/>
    <w:rsid w:val="67DE14F6"/>
    <w:rsid w:val="67F147CE"/>
    <w:rsid w:val="681739D4"/>
    <w:rsid w:val="682676EC"/>
    <w:rsid w:val="687E35FE"/>
    <w:rsid w:val="687E5D64"/>
    <w:rsid w:val="6884313B"/>
    <w:rsid w:val="68A75628"/>
    <w:rsid w:val="69181CC6"/>
    <w:rsid w:val="69512165"/>
    <w:rsid w:val="696C43B8"/>
    <w:rsid w:val="6A1E7827"/>
    <w:rsid w:val="6A2626B5"/>
    <w:rsid w:val="6A387C59"/>
    <w:rsid w:val="6A3A6264"/>
    <w:rsid w:val="6B3037B2"/>
    <w:rsid w:val="6B4D219F"/>
    <w:rsid w:val="6B5740C2"/>
    <w:rsid w:val="6BB145C2"/>
    <w:rsid w:val="6C040BA3"/>
    <w:rsid w:val="6C324200"/>
    <w:rsid w:val="6C401AEC"/>
    <w:rsid w:val="6C491BD7"/>
    <w:rsid w:val="6C622C5F"/>
    <w:rsid w:val="6D0417E8"/>
    <w:rsid w:val="6D103C2F"/>
    <w:rsid w:val="6D351FB7"/>
    <w:rsid w:val="6D717C1E"/>
    <w:rsid w:val="6DF72075"/>
    <w:rsid w:val="6DFE10B9"/>
    <w:rsid w:val="6E3E4C7D"/>
    <w:rsid w:val="6E4A0A40"/>
    <w:rsid w:val="6EFC51A7"/>
    <w:rsid w:val="6F590978"/>
    <w:rsid w:val="6FA333B6"/>
    <w:rsid w:val="6FF41EBB"/>
    <w:rsid w:val="6FFF4DCD"/>
    <w:rsid w:val="70681E7A"/>
    <w:rsid w:val="70982F43"/>
    <w:rsid w:val="70B36A63"/>
    <w:rsid w:val="70D97BAF"/>
    <w:rsid w:val="70EB02B8"/>
    <w:rsid w:val="711E28A2"/>
    <w:rsid w:val="712B266D"/>
    <w:rsid w:val="72760055"/>
    <w:rsid w:val="72991273"/>
    <w:rsid w:val="72AB6BB1"/>
    <w:rsid w:val="736175D9"/>
    <w:rsid w:val="73E55634"/>
    <w:rsid w:val="73EA0734"/>
    <w:rsid w:val="7402176C"/>
    <w:rsid w:val="742D6E39"/>
    <w:rsid w:val="74DB4F33"/>
    <w:rsid w:val="75355FA6"/>
    <w:rsid w:val="753766DA"/>
    <w:rsid w:val="754745DB"/>
    <w:rsid w:val="7563404D"/>
    <w:rsid w:val="75852290"/>
    <w:rsid w:val="75941C40"/>
    <w:rsid w:val="75E0564B"/>
    <w:rsid w:val="760442A1"/>
    <w:rsid w:val="766525AC"/>
    <w:rsid w:val="76ED0653"/>
    <w:rsid w:val="7728448C"/>
    <w:rsid w:val="773219F0"/>
    <w:rsid w:val="77341F97"/>
    <w:rsid w:val="773B56AB"/>
    <w:rsid w:val="7757494C"/>
    <w:rsid w:val="78306EBD"/>
    <w:rsid w:val="7987746E"/>
    <w:rsid w:val="79982F8C"/>
    <w:rsid w:val="79C34003"/>
    <w:rsid w:val="79E70386"/>
    <w:rsid w:val="7A4525A4"/>
    <w:rsid w:val="7A796AE8"/>
    <w:rsid w:val="7AC61F76"/>
    <w:rsid w:val="7B176461"/>
    <w:rsid w:val="7B191C40"/>
    <w:rsid w:val="7B9C59FD"/>
    <w:rsid w:val="7BEB5610"/>
    <w:rsid w:val="7C381041"/>
    <w:rsid w:val="7C3A3886"/>
    <w:rsid w:val="7C8D0D98"/>
    <w:rsid w:val="7C8D5568"/>
    <w:rsid w:val="7D3E4A44"/>
    <w:rsid w:val="7E0E1A8A"/>
    <w:rsid w:val="7E734104"/>
    <w:rsid w:val="7EE4589E"/>
    <w:rsid w:val="7F2D4191"/>
    <w:rsid w:val="7FCB2137"/>
    <w:rsid w:val="7FD74590"/>
    <w:rsid w:val="7FD925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2"/>
      <w:lang w:val="en-US" w:eastAsia="zh-CN" w:bidi="ar-SA"/>
    </w:rPr>
  </w:style>
  <w:style w:type="paragraph" w:styleId="2">
    <w:name w:val="heading 1"/>
    <w:basedOn w:val="1"/>
    <w:next w:val="1"/>
    <w:qFormat/>
    <w:uiPriority w:val="9"/>
    <w:pPr>
      <w:keepNext/>
      <w:keepLines/>
      <w:spacing w:line="576" w:lineRule="auto"/>
      <w:outlineLvl w:val="0"/>
    </w:pPr>
    <w:rPr>
      <w:kern w:val="44"/>
      <w:sz w:val="30"/>
    </w:rPr>
  </w:style>
  <w:style w:type="paragraph" w:styleId="3">
    <w:name w:val="heading 2"/>
    <w:basedOn w:val="1"/>
    <w:next w:val="1"/>
    <w:qFormat/>
    <w:uiPriority w:val="0"/>
    <w:pPr>
      <w:keepNext/>
      <w:keepLines/>
      <w:adjustRightInd w:val="0"/>
      <w:snapToGrid w:val="0"/>
      <w:spacing w:line="360" w:lineRule="auto"/>
      <w:outlineLvl w:val="1"/>
    </w:pPr>
    <w:rPr>
      <w:rFonts w:ascii="宋体" w:hAnsi="宋体"/>
    </w:rPr>
  </w:style>
  <w:style w:type="paragraph" w:styleId="4">
    <w:name w:val="heading 3"/>
    <w:basedOn w:val="1"/>
    <w:next w:val="1"/>
    <w:qFormat/>
    <w:uiPriority w:val="9"/>
    <w:pPr>
      <w:keepNext/>
      <w:keepLines/>
      <w:spacing w:before="260" w:after="260" w:line="416" w:lineRule="auto"/>
      <w:outlineLvl w:val="2"/>
    </w:pPr>
    <w:rPr>
      <w:rFonts w:ascii="Times New Roman" w:hAnsi="Times New Roman" w:cs="Times New Roman"/>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adjustRightInd w:val="0"/>
      <w:snapToGrid w:val="0"/>
      <w:spacing w:line="360" w:lineRule="auto"/>
      <w:ind w:firstLine="420"/>
    </w:pPr>
    <w:rPr>
      <w:sz w:val="24"/>
    </w:rPr>
  </w:style>
  <w:style w:type="paragraph" w:styleId="6">
    <w:name w:val="annotation text"/>
    <w:basedOn w:val="1"/>
    <w:qFormat/>
    <w:uiPriority w:val="99"/>
    <w:pPr>
      <w:jc w:val="left"/>
    </w:pPr>
  </w:style>
  <w:style w:type="paragraph" w:styleId="7">
    <w:name w:val="Body Text"/>
    <w:basedOn w:val="1"/>
    <w:next w:val="1"/>
    <w:qFormat/>
    <w:uiPriority w:val="0"/>
    <w:pPr>
      <w:spacing w:after="120"/>
    </w:pPr>
  </w:style>
  <w:style w:type="paragraph" w:styleId="8">
    <w:name w:val="Body Text Indent"/>
    <w:basedOn w:val="1"/>
    <w:qFormat/>
    <w:uiPriority w:val="0"/>
    <w:pPr>
      <w:ind w:firstLine="407" w:firstLineChars="200"/>
    </w:pPr>
  </w:style>
  <w:style w:type="paragraph" w:styleId="9">
    <w:name w:val="footer"/>
    <w:basedOn w:val="1"/>
    <w:link w:val="21"/>
    <w:qFormat/>
    <w:uiPriority w:val="99"/>
    <w:pPr>
      <w:tabs>
        <w:tab w:val="center" w:pos="4153"/>
        <w:tab w:val="right" w:pos="8306"/>
      </w:tabs>
      <w:snapToGrid w:val="0"/>
      <w:jc w:val="left"/>
    </w:pPr>
    <w:rPr>
      <w:sz w:val="18"/>
      <w:szCs w:val="18"/>
    </w:rPr>
  </w:style>
  <w:style w:type="paragraph" w:styleId="10">
    <w:name w:val="header"/>
    <w:basedOn w:val="1"/>
    <w:link w:val="20"/>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jc w:val="left"/>
    </w:pPr>
    <w:rPr>
      <w:kern w:val="0"/>
      <w:sz w:val="24"/>
    </w:rPr>
  </w:style>
  <w:style w:type="paragraph" w:styleId="12">
    <w:name w:val="Body Text First Indent"/>
    <w:basedOn w:val="7"/>
    <w:qFormat/>
    <w:uiPriority w:val="99"/>
    <w:pPr>
      <w:adjustRightInd w:val="0"/>
      <w:spacing w:line="275" w:lineRule="atLeast"/>
      <w:ind w:firstLine="420"/>
      <w:textAlignment w:val="baseline"/>
    </w:pPr>
    <w:rPr>
      <w:rFonts w:eastAsia="楷体_GB2312"/>
      <w:szCs w:val="20"/>
    </w:rPr>
  </w:style>
  <w:style w:type="paragraph" w:styleId="13">
    <w:name w:val="Body Text First Indent 2"/>
    <w:basedOn w:val="8"/>
    <w:qFormat/>
    <w:uiPriority w:val="0"/>
    <w:pPr>
      <w:ind w:firstLine="420"/>
    </w:pPr>
    <w:rPr>
      <w:rFonts w:ascii="Times New Roman" w:hAnsi="Times New Roman" w:cs="Times New Roman"/>
      <w:bCs/>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styleId="18">
    <w:name w:val="annotation reference"/>
    <w:basedOn w:val="16"/>
    <w:qFormat/>
    <w:uiPriority w:val="0"/>
    <w:rPr>
      <w:sz w:val="21"/>
      <w:szCs w:val="21"/>
    </w:rPr>
  </w:style>
  <w:style w:type="paragraph" w:customStyle="1" w:styleId="19">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character" w:customStyle="1" w:styleId="20">
    <w:name w:val="页眉 字符"/>
    <w:basedOn w:val="16"/>
    <w:link w:val="10"/>
    <w:qFormat/>
    <w:uiPriority w:val="99"/>
    <w:rPr>
      <w:sz w:val="18"/>
      <w:szCs w:val="18"/>
    </w:rPr>
  </w:style>
  <w:style w:type="character" w:customStyle="1" w:styleId="21">
    <w:name w:val="页脚 字符"/>
    <w:basedOn w:val="16"/>
    <w:link w:val="9"/>
    <w:qFormat/>
    <w:uiPriority w:val="99"/>
    <w:rPr>
      <w:sz w:val="18"/>
      <w:szCs w:val="18"/>
    </w:rPr>
  </w:style>
  <w:style w:type="paragraph" w:customStyle="1" w:styleId="22">
    <w:name w:val="图例"/>
    <w:qFormat/>
    <w:uiPriority w:val="0"/>
    <w:pPr>
      <w:widowControl w:val="0"/>
      <w:spacing w:before="120" w:after="120" w:line="360" w:lineRule="auto"/>
      <w:jc w:val="center"/>
    </w:pPr>
    <w:rPr>
      <w:rFonts w:ascii="Times New Roman" w:hAnsi="Times New Roman" w:eastAsia="仿宋_GB2312" w:cs="Times New Roman"/>
      <w:b/>
      <w:kern w:val="2"/>
      <w:sz w:val="24"/>
      <w:lang w:val="en-US" w:eastAsia="zh-CN" w:bidi="ar-SA"/>
    </w:rPr>
  </w:style>
  <w:style w:type="character" w:customStyle="1" w:styleId="23">
    <w:name w:val="font11"/>
    <w:basedOn w:val="16"/>
    <w:qFormat/>
    <w:uiPriority w:val="0"/>
    <w:rPr>
      <w:rFonts w:hint="eastAsia" w:ascii="宋体" w:hAnsi="宋体" w:eastAsia="宋体" w:cs="宋体"/>
      <w:color w:val="000000"/>
      <w:sz w:val="22"/>
      <w:szCs w:val="22"/>
      <w:u w:val="none"/>
    </w:rPr>
  </w:style>
  <w:style w:type="paragraph" w:customStyle="1" w:styleId="24">
    <w:name w:val="tit9"/>
    <w:basedOn w:val="1"/>
    <w:qFormat/>
    <w:uiPriority w:val="0"/>
    <w:pPr>
      <w:spacing w:line="330" w:lineRule="atLeast"/>
      <w:ind w:right="840"/>
      <w:jc w:val="left"/>
      <w:textAlignment w:val="center"/>
    </w:pPr>
    <w:rPr>
      <w:b/>
      <w:color w:val="2760B7"/>
      <w:kern w:val="0"/>
      <w:sz w:val="27"/>
      <w:szCs w:val="27"/>
    </w:rPr>
  </w:style>
  <w:style w:type="character" w:customStyle="1" w:styleId="25">
    <w:name w:val="tit16"/>
    <w:basedOn w:val="16"/>
    <w:qFormat/>
    <w:uiPriority w:val="0"/>
    <w:rPr>
      <w:b/>
      <w:color w:val="333333"/>
      <w:sz w:val="39"/>
      <w:szCs w:val="39"/>
    </w:rPr>
  </w:style>
  <w:style w:type="character" w:customStyle="1" w:styleId="26">
    <w:name w:val="con5"/>
    <w:basedOn w:val="16"/>
    <w:qFormat/>
    <w:uiPriority w:val="0"/>
  </w:style>
  <w:style w:type="character" w:customStyle="1" w:styleId="27">
    <w:name w:val="font21"/>
    <w:basedOn w:val="16"/>
    <w:qFormat/>
    <w:uiPriority w:val="0"/>
    <w:rPr>
      <w:rFonts w:hint="eastAsia" w:ascii="宋体" w:hAnsi="宋体" w:eastAsia="宋体" w:cs="宋体"/>
      <w:b/>
      <w:bCs/>
      <w:color w:val="000000"/>
      <w:sz w:val="22"/>
      <w:szCs w:val="22"/>
      <w:u w:val="none"/>
    </w:rPr>
  </w:style>
  <w:style w:type="character" w:customStyle="1" w:styleId="28">
    <w:name w:val="font71"/>
    <w:basedOn w:val="16"/>
    <w:qFormat/>
    <w:uiPriority w:val="0"/>
    <w:rPr>
      <w:rFonts w:hint="eastAsia" w:ascii="宋体" w:hAnsi="宋体" w:eastAsia="宋体" w:cs="宋体"/>
      <w:color w:val="FF0000"/>
      <w:sz w:val="22"/>
      <w:szCs w:val="22"/>
      <w:u w:val="none"/>
    </w:rPr>
  </w:style>
  <w:style w:type="character" w:customStyle="1" w:styleId="29">
    <w:name w:val="font51"/>
    <w:basedOn w:val="16"/>
    <w:qFormat/>
    <w:uiPriority w:val="0"/>
    <w:rPr>
      <w:rFonts w:hint="eastAsia" w:ascii="宋体" w:hAnsi="宋体" w:eastAsia="宋体" w:cs="宋体"/>
      <w:color w:val="000000"/>
      <w:sz w:val="22"/>
      <w:szCs w:val="22"/>
      <w:u w:val="none"/>
    </w:rPr>
  </w:style>
  <w:style w:type="paragraph" w:customStyle="1" w:styleId="30">
    <w:name w:val="修订1"/>
    <w:hidden/>
    <w:semiHidden/>
    <w:qFormat/>
    <w:uiPriority w:val="99"/>
    <w:rPr>
      <w:rFonts w:ascii="Calibri" w:hAnsi="Calibri" w:eastAsia="宋体" w:cs="宋体"/>
      <w:kern w:val="2"/>
      <w:sz w:val="21"/>
      <w:szCs w:val="22"/>
      <w:lang w:val="en-US" w:eastAsia="zh-CN" w:bidi="ar-SA"/>
    </w:rPr>
  </w:style>
  <w:style w:type="paragraph" w:styleId="3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5966</Words>
  <Characters>6162</Characters>
  <Lines>43</Lines>
  <Paragraphs>12</Paragraphs>
  <TotalTime>1</TotalTime>
  <ScaleCrop>false</ScaleCrop>
  <LinksUpToDate>false</LinksUpToDate>
  <CharactersWithSpaces>6203</CharactersWithSpaces>
  <Application>WPS Office_11.8.2.11542_F1E327BC-269C-435d-A152-05C5408002CA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2022-10-23T09:29:00Z</dcterms:created>
  <dc:creator>admin</dc:creator>
  <cp:lastModifiedBy>一枚老仙女</cp:lastModifiedBy>
  <cp:lastPrinted>2025-02-21T06:37:00Z</cp:lastPrinted>
  <dcterms:modified xsi:type="dcterms:W3CDTF">2025-02-21T08:10:43Z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2052-11.8.2.11542</vt:lpwstr>
  </property>
  <property fmtid="{D5CDD505-2E9C-101B-9397-08002B2CF9AE}" pid="3" name="ICV">
    <vt:lpwstr>3E9AD4A610AC436F9EB0711749171763_13</vt:lpwstr>
  </property>
  <property fmtid="{D5CDD505-2E9C-101B-9397-08002B2CF9AE}" pid="4" name="KSOTemplateDocerSaveRecord">
    <vt:lpwstr>eyJoZGlkIjoiZDQ2ZjI2NjUyOWYwNzdiNzY3MTU3YTkyYTE0ZTU1MWMiLCJ1c2VySWQiOiI0ODQwODgyOTgifQ==</vt:lpwstr>
  </property>
</Properties>
</file>